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F7D" w:rsidRPr="00767038" w:rsidRDefault="00831F7D" w:rsidP="001C4EB6">
      <w:pPr>
        <w:widowControl w:val="0"/>
        <w:tabs>
          <w:tab w:val="left" w:pos="-720"/>
        </w:tabs>
        <w:spacing w:line="276" w:lineRule="auto"/>
        <w:jc w:val="center"/>
        <w:rPr>
          <w:b/>
          <w:bCs/>
          <w:color w:val="FF0000"/>
          <w:sz w:val="36"/>
          <w:szCs w:val="36"/>
          <w:lang w:eastAsia="en-US"/>
        </w:rPr>
      </w:pPr>
    </w:p>
    <w:p w:rsidR="001338C9" w:rsidRPr="007E617F" w:rsidRDefault="001C4EB6" w:rsidP="001338C9">
      <w:pPr>
        <w:suppressAutoHyphens w:val="0"/>
        <w:spacing w:line="276" w:lineRule="auto"/>
        <w:jc w:val="center"/>
        <w:rPr>
          <w:b/>
          <w:color w:val="948A54" w:themeColor="background2" w:themeShade="80"/>
          <w:sz w:val="48"/>
          <w:szCs w:val="48"/>
          <w:lang w:eastAsia="en-US"/>
          <w14:textOutline w14:w="0" w14:cap="flat" w14:cmpd="sng" w14:algn="ctr">
            <w14:noFill/>
            <w14:prstDash w14:val="solid"/>
            <w14:round/>
          </w14:textOutline>
          <w14:props3d w14:extrusionH="31750" w14:contourW="6350" w14:prstMaterial="powder">
            <w14:bevelT w14:w="19050" w14:h="19050" w14:prst="angle"/>
            <w14:contourClr>
              <w14:schemeClr w14:val="accent3">
                <w14:tint w14:val="100000"/>
                <w14:shade w14:val="100000"/>
                <w14:satMod w14:val="100000"/>
                <w14:hueMod w14:val="100000"/>
              </w14:schemeClr>
            </w14:contourClr>
          </w14:props3d>
        </w:rPr>
      </w:pPr>
      <w:r w:rsidRPr="007E617F">
        <w:rPr>
          <w:b/>
          <w:color w:val="948A54" w:themeColor="background2" w:themeShade="80"/>
          <w:sz w:val="48"/>
          <w:szCs w:val="48"/>
          <w:lang w:eastAsia="en-US"/>
          <w14:textOutline w14:w="0" w14:cap="flat" w14:cmpd="sng" w14:algn="ctr">
            <w14:noFill/>
            <w14:prstDash w14:val="solid"/>
            <w14:round/>
          </w14:textOutline>
          <w14:props3d w14:extrusionH="31750" w14:contourW="6350" w14:prstMaterial="powder">
            <w14:bevelT w14:w="19050" w14:h="19050" w14:prst="angle"/>
            <w14:contourClr>
              <w14:schemeClr w14:val="accent3">
                <w14:tint w14:val="100000"/>
                <w14:shade w14:val="100000"/>
                <w14:satMod w14:val="100000"/>
                <w14:hueMod w14:val="100000"/>
              </w14:schemeClr>
            </w14:contourClr>
          </w14:props3d>
        </w:rPr>
        <w:t xml:space="preserve">РАЗДЕЛ IV. </w:t>
      </w:r>
    </w:p>
    <w:p w:rsidR="00D14382" w:rsidRPr="007E617F" w:rsidRDefault="00D14382" w:rsidP="001338C9">
      <w:pPr>
        <w:suppressAutoHyphens w:val="0"/>
        <w:spacing w:line="276" w:lineRule="auto"/>
        <w:jc w:val="center"/>
        <w:rPr>
          <w:b/>
          <w:color w:val="948A54" w:themeColor="background2" w:themeShade="80"/>
          <w:sz w:val="48"/>
          <w:szCs w:val="48"/>
          <w:lang w:eastAsia="en-US"/>
          <w14:textOutline w14:w="0" w14:cap="flat" w14:cmpd="sng" w14:algn="ctr">
            <w14:noFill/>
            <w14:prstDash w14:val="solid"/>
            <w14:round/>
          </w14:textOutline>
          <w14:props3d w14:extrusionH="31750" w14:contourW="6350" w14:prstMaterial="powder">
            <w14:bevelT w14:w="19050" w14:h="19050" w14:prst="angle"/>
            <w14:contourClr>
              <w14:schemeClr w14:val="accent3">
                <w14:tint w14:val="100000"/>
                <w14:shade w14:val="100000"/>
                <w14:satMod w14:val="100000"/>
                <w14:hueMod w14:val="100000"/>
              </w14:schemeClr>
            </w14:contourClr>
          </w14:props3d>
        </w:rPr>
      </w:pPr>
    </w:p>
    <w:p w:rsidR="001C4EB6" w:rsidRPr="007E617F" w:rsidRDefault="001C4EB6" w:rsidP="001338C9">
      <w:pPr>
        <w:suppressAutoHyphens w:val="0"/>
        <w:spacing w:line="276" w:lineRule="auto"/>
        <w:jc w:val="center"/>
        <w:rPr>
          <w:b/>
          <w:color w:val="948A54" w:themeColor="background2" w:themeShade="80"/>
          <w:sz w:val="48"/>
          <w:szCs w:val="48"/>
          <w:lang w:eastAsia="en-US"/>
          <w14:textOutline w14:w="0" w14:cap="flat" w14:cmpd="sng" w14:algn="ctr">
            <w14:noFill/>
            <w14:prstDash w14:val="solid"/>
            <w14:round/>
          </w14:textOutline>
          <w14:props3d w14:extrusionH="31750" w14:contourW="6350" w14:prstMaterial="powder">
            <w14:bevelT w14:w="19050" w14:h="19050" w14:prst="angle"/>
            <w14:contourClr>
              <w14:schemeClr w14:val="accent3">
                <w14:tint w14:val="100000"/>
                <w14:shade w14:val="100000"/>
                <w14:satMod w14:val="100000"/>
                <w14:hueMod w14:val="100000"/>
              </w14:schemeClr>
            </w14:contourClr>
          </w14:props3d>
        </w:rPr>
      </w:pPr>
      <w:r w:rsidRPr="007E617F">
        <w:rPr>
          <w:b/>
          <w:color w:val="948A54" w:themeColor="background2" w:themeShade="80"/>
          <w:sz w:val="48"/>
          <w:szCs w:val="48"/>
          <w:lang w:eastAsia="en-US"/>
          <w14:textOutline w14:w="0" w14:cap="flat" w14:cmpd="sng" w14:algn="ctr">
            <w14:noFill/>
            <w14:prstDash w14:val="solid"/>
            <w14:round/>
          </w14:textOutline>
          <w14:props3d w14:extrusionH="31750" w14:contourW="6350" w14:prstMaterial="powder">
            <w14:bevelT w14:w="19050" w14:h="19050" w14:prst="angle"/>
            <w14:contourClr>
              <w14:schemeClr w14:val="accent3">
                <w14:tint w14:val="100000"/>
                <w14:shade w14:val="100000"/>
                <w14:satMod w14:val="100000"/>
                <w14:hueMod w14:val="100000"/>
              </w14:schemeClr>
            </w14:contourClr>
          </w14:props3d>
        </w:rPr>
        <w:t>МЕТОДИКА ЗА ОПРЕДЕЛЯНЕ НА КОМПЛЕКСНАТА ОЦЕНКА</w:t>
      </w:r>
    </w:p>
    <w:p w:rsidR="001C4EB6" w:rsidRPr="00767038" w:rsidRDefault="001C4EB6" w:rsidP="001C4EB6">
      <w:pPr>
        <w:widowControl w:val="0"/>
        <w:tabs>
          <w:tab w:val="left" w:pos="-720"/>
        </w:tabs>
        <w:spacing w:line="276" w:lineRule="auto"/>
        <w:jc w:val="center"/>
        <w:rPr>
          <w:b/>
          <w:bCs/>
          <w:lang w:eastAsia="en-US"/>
        </w:rPr>
      </w:pPr>
    </w:p>
    <w:p w:rsidR="004C25EC" w:rsidRPr="00767038" w:rsidRDefault="004C25EC" w:rsidP="001C4EB6">
      <w:pPr>
        <w:widowControl w:val="0"/>
        <w:tabs>
          <w:tab w:val="left" w:pos="-720"/>
        </w:tabs>
        <w:spacing w:line="276" w:lineRule="auto"/>
        <w:jc w:val="center"/>
        <w:rPr>
          <w:b/>
          <w:bCs/>
          <w:lang w:eastAsia="en-US"/>
        </w:rPr>
      </w:pPr>
    </w:p>
    <w:p w:rsidR="008A7C6B" w:rsidRPr="00767038" w:rsidRDefault="008A7C6B" w:rsidP="001C4EB6">
      <w:pPr>
        <w:widowControl w:val="0"/>
        <w:tabs>
          <w:tab w:val="left" w:pos="-720"/>
        </w:tabs>
        <w:spacing w:line="276" w:lineRule="auto"/>
        <w:jc w:val="center"/>
        <w:rPr>
          <w:b/>
          <w:bCs/>
          <w:lang w:eastAsia="en-US"/>
        </w:rPr>
      </w:pPr>
    </w:p>
    <w:p w:rsidR="008A7C6B" w:rsidRPr="00767038" w:rsidRDefault="00EC7759" w:rsidP="008A7C6B">
      <w:pPr>
        <w:suppressAutoHyphens w:val="0"/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767038">
        <w:rPr>
          <w:rFonts w:eastAsiaTheme="minorHAnsi"/>
          <w:b/>
          <w:sz w:val="28"/>
          <w:szCs w:val="28"/>
          <w:lang w:eastAsia="en-US"/>
        </w:rPr>
        <w:t>НА ОФЕРТИТЕ</w:t>
      </w:r>
      <w:r w:rsidR="002F3B75" w:rsidRPr="00767038">
        <w:rPr>
          <w:rFonts w:eastAsiaTheme="minorHAnsi"/>
          <w:b/>
          <w:sz w:val="28"/>
          <w:szCs w:val="28"/>
          <w:lang w:eastAsia="en-US"/>
        </w:rPr>
        <w:t xml:space="preserve"> В ОБЩЕСТВЕНА П</w:t>
      </w:r>
      <w:r w:rsidR="00A8254C" w:rsidRPr="00767038">
        <w:rPr>
          <w:rFonts w:eastAsiaTheme="minorHAnsi"/>
          <w:b/>
          <w:sz w:val="28"/>
          <w:szCs w:val="28"/>
          <w:lang w:eastAsia="en-US"/>
        </w:rPr>
        <w:t xml:space="preserve">ОРЪЧКА </w:t>
      </w:r>
      <w:r w:rsidR="008A7C6B" w:rsidRPr="00767038">
        <w:rPr>
          <w:rFonts w:eastAsiaTheme="minorHAnsi"/>
          <w:b/>
          <w:sz w:val="28"/>
          <w:szCs w:val="28"/>
          <w:lang w:eastAsia="en-US"/>
        </w:rPr>
        <w:t>ПО ЧЛ. 18, АЛ. 1, Т. 12 ОТ ЗОП – ПУБЛИЧНО СЪСТЕЗАНИЕ С ПРЕДМЕТ:</w:t>
      </w:r>
    </w:p>
    <w:p w:rsidR="008A7C6B" w:rsidRPr="00767038" w:rsidRDefault="008A7C6B" w:rsidP="008A7C6B">
      <w:pPr>
        <w:suppressAutoHyphens w:val="0"/>
        <w:spacing w:line="276" w:lineRule="auto"/>
        <w:jc w:val="center"/>
        <w:rPr>
          <w:rFonts w:eastAsiaTheme="minorHAnsi"/>
          <w:b/>
          <w:color w:val="FF0000"/>
          <w:sz w:val="28"/>
          <w:szCs w:val="28"/>
          <w:lang w:eastAsia="en-US"/>
        </w:rPr>
      </w:pPr>
    </w:p>
    <w:p w:rsidR="00631867" w:rsidRPr="00631867" w:rsidRDefault="00631867" w:rsidP="00631867">
      <w:pPr>
        <w:suppressAutoHyphens w:val="0"/>
        <w:spacing w:before="100" w:beforeAutospacing="1" w:after="100" w:afterAutospacing="1" w:line="276" w:lineRule="auto"/>
        <w:jc w:val="center"/>
        <w:rPr>
          <w:b/>
          <w:lang w:eastAsia="bg-BG" w:bidi="en-US"/>
        </w:rPr>
      </w:pPr>
      <w:r w:rsidRPr="00631867">
        <w:rPr>
          <w:b/>
          <w:sz w:val="28"/>
          <w:szCs w:val="28"/>
          <w:lang w:eastAsia="bg-BG"/>
        </w:rPr>
        <w:t>„РЕКОНСТРУКЦИЯ И РЕХАБИЛИТАЦИЯ НА УЛИЧНА МРЕЖА В ОБЩИНА ЛОЗНИЦА” ПО 4 (ЧЕТИРИ) ОБОСОБЕНИ ПОЗИЦИИ“</w:t>
      </w:r>
    </w:p>
    <w:p w:rsidR="007C53F6" w:rsidRDefault="007C53F6" w:rsidP="00727B2D">
      <w:pPr>
        <w:suppressAutoHyphens w:val="0"/>
        <w:spacing w:before="100" w:beforeAutospacing="1" w:after="100" w:afterAutospacing="1" w:line="276" w:lineRule="auto"/>
        <w:jc w:val="center"/>
        <w:rPr>
          <w:b/>
          <w:color w:val="FF0000"/>
          <w:lang w:val="en-US" w:eastAsia="en-US"/>
        </w:rPr>
      </w:pPr>
    </w:p>
    <w:p w:rsidR="00631867" w:rsidRPr="00631867" w:rsidRDefault="00631867" w:rsidP="00727B2D">
      <w:pPr>
        <w:suppressAutoHyphens w:val="0"/>
        <w:spacing w:before="100" w:beforeAutospacing="1" w:after="100" w:afterAutospacing="1" w:line="276" w:lineRule="auto"/>
        <w:jc w:val="center"/>
        <w:rPr>
          <w:b/>
          <w:color w:val="FF0000"/>
          <w:lang w:val="en-US" w:eastAsia="en-US"/>
        </w:rPr>
      </w:pPr>
      <w:bookmarkStart w:id="0" w:name="_GoBack"/>
      <w:bookmarkEnd w:id="0"/>
    </w:p>
    <w:p w:rsidR="007C53F6" w:rsidRPr="00767038" w:rsidRDefault="007C53F6" w:rsidP="00727B2D">
      <w:pPr>
        <w:suppressAutoHyphens w:val="0"/>
        <w:spacing w:before="100" w:beforeAutospacing="1" w:after="100" w:afterAutospacing="1" w:line="276" w:lineRule="auto"/>
        <w:jc w:val="center"/>
        <w:rPr>
          <w:b/>
          <w:color w:val="FF0000"/>
          <w:lang w:eastAsia="en-US"/>
        </w:rPr>
      </w:pPr>
    </w:p>
    <w:p w:rsidR="008A7C6B" w:rsidRPr="00767038" w:rsidRDefault="008A7C6B" w:rsidP="00727B2D">
      <w:pPr>
        <w:suppressAutoHyphens w:val="0"/>
        <w:spacing w:before="100" w:beforeAutospacing="1" w:after="100" w:afterAutospacing="1" w:line="276" w:lineRule="auto"/>
        <w:jc w:val="center"/>
        <w:rPr>
          <w:b/>
          <w:color w:val="FF0000"/>
          <w:lang w:eastAsia="en-US"/>
        </w:rPr>
      </w:pPr>
    </w:p>
    <w:p w:rsidR="008A7C6B" w:rsidRDefault="008A7C6B" w:rsidP="00727B2D">
      <w:pPr>
        <w:suppressAutoHyphens w:val="0"/>
        <w:spacing w:before="100" w:beforeAutospacing="1" w:after="100" w:afterAutospacing="1" w:line="276" w:lineRule="auto"/>
        <w:jc w:val="center"/>
        <w:rPr>
          <w:b/>
          <w:color w:val="FF0000"/>
          <w:lang w:eastAsia="en-US"/>
        </w:rPr>
      </w:pPr>
    </w:p>
    <w:p w:rsidR="0073188D" w:rsidRDefault="0073188D" w:rsidP="00727B2D">
      <w:pPr>
        <w:suppressAutoHyphens w:val="0"/>
        <w:spacing w:before="100" w:beforeAutospacing="1" w:after="100" w:afterAutospacing="1" w:line="276" w:lineRule="auto"/>
        <w:jc w:val="center"/>
        <w:rPr>
          <w:b/>
          <w:color w:val="FF0000"/>
          <w:lang w:eastAsia="en-US"/>
        </w:rPr>
      </w:pPr>
    </w:p>
    <w:p w:rsidR="00767038" w:rsidRPr="00767038" w:rsidRDefault="00767038" w:rsidP="00767038">
      <w:pPr>
        <w:widowControl w:val="0"/>
        <w:tabs>
          <w:tab w:val="left" w:pos="-720"/>
        </w:tabs>
        <w:spacing w:line="240" w:lineRule="auto"/>
        <w:jc w:val="center"/>
        <w:rPr>
          <w:b/>
          <w:lang w:eastAsia="bg-BG" w:bidi="en-US"/>
        </w:rPr>
      </w:pPr>
      <w:r w:rsidRPr="00767038">
        <w:rPr>
          <w:b/>
          <w:lang w:eastAsia="bg-BG" w:bidi="en-US"/>
        </w:rPr>
        <w:t xml:space="preserve">ГР. </w:t>
      </w:r>
      <w:r w:rsidR="00337433">
        <w:rPr>
          <w:b/>
          <w:lang w:eastAsia="bg-BG" w:bidi="en-US"/>
        </w:rPr>
        <w:t>ЛОЗНИЦА</w:t>
      </w:r>
      <w:r w:rsidRPr="00767038">
        <w:rPr>
          <w:b/>
          <w:lang w:eastAsia="bg-BG" w:bidi="en-US"/>
        </w:rPr>
        <w:t>, 2019 ГОДИНА</w:t>
      </w:r>
    </w:p>
    <w:p w:rsidR="00767038" w:rsidRDefault="00767038" w:rsidP="008A7C6B">
      <w:pPr>
        <w:suppressAutoHyphens w:val="0"/>
        <w:spacing w:line="276" w:lineRule="auto"/>
        <w:jc w:val="both"/>
        <w:rPr>
          <w:b/>
          <w:bCs/>
          <w:color w:val="FF0000"/>
          <w:lang w:eastAsia="en-US"/>
        </w:rPr>
      </w:pPr>
    </w:p>
    <w:p w:rsidR="00AF24D6" w:rsidRPr="00767038" w:rsidRDefault="008A7C6B" w:rsidP="008A7C6B">
      <w:pPr>
        <w:suppressAutoHyphens w:val="0"/>
        <w:spacing w:line="276" w:lineRule="auto"/>
        <w:jc w:val="both"/>
        <w:rPr>
          <w:b/>
          <w:bCs/>
          <w:lang w:eastAsia="en-US"/>
        </w:rPr>
      </w:pPr>
      <w:r w:rsidRPr="00767038">
        <w:rPr>
          <w:b/>
          <w:bCs/>
          <w:lang w:eastAsia="en-US"/>
        </w:rPr>
        <w:t xml:space="preserve"> </w:t>
      </w:r>
      <w:r w:rsidR="00AF24D6" w:rsidRPr="00767038">
        <w:rPr>
          <w:b/>
          <w:bCs/>
          <w:lang w:eastAsia="en-US"/>
        </w:rPr>
        <w:t>(Настоящ</w:t>
      </w:r>
      <w:r w:rsidR="00AF24D6" w:rsidRPr="00767038">
        <w:rPr>
          <w:b/>
          <w:bCs/>
          <w:lang w:val="en-US" w:eastAsia="en-US"/>
        </w:rPr>
        <w:t>a</w:t>
      </w:r>
      <w:r w:rsidR="00AF24D6" w:rsidRPr="00767038">
        <w:rPr>
          <w:b/>
          <w:bCs/>
          <w:lang w:eastAsia="en-US"/>
        </w:rPr>
        <w:t>та м</w:t>
      </w:r>
      <w:r w:rsidR="00AF24D6" w:rsidRPr="00767038">
        <w:rPr>
          <w:b/>
          <w:bCs/>
        </w:rPr>
        <w:t>етодиката за комплексна оценка и начина за определяне на оценката по всеки показател на офертите</w:t>
      </w:r>
      <w:r w:rsidR="00AF24D6" w:rsidRPr="00767038">
        <w:rPr>
          <w:b/>
          <w:bCs/>
          <w:lang w:eastAsia="en-US"/>
        </w:rPr>
        <w:t xml:space="preserve"> са разработени на основание </w:t>
      </w:r>
      <w:r w:rsidR="00AF24D6" w:rsidRPr="00767038">
        <w:rPr>
          <w:b/>
          <w:bCs/>
        </w:rPr>
        <w:t xml:space="preserve">чл. 70, ал. 7 от ЗОП </w:t>
      </w:r>
      <w:r w:rsidR="00AF24D6" w:rsidRPr="00767038">
        <w:rPr>
          <w:b/>
          <w:bCs/>
          <w:lang w:eastAsia="en-US"/>
        </w:rPr>
        <w:t>и са част от Документацията за обществена поръчка съгласно чл. 31, ал. 1, т. 3 от ЗОП)</w:t>
      </w:r>
    </w:p>
    <w:p w:rsidR="007C53F6" w:rsidRPr="00767038" w:rsidRDefault="007C53F6" w:rsidP="004C25EC">
      <w:pPr>
        <w:suppressAutoHyphens w:val="0"/>
        <w:spacing w:line="276" w:lineRule="auto"/>
        <w:jc w:val="both"/>
        <w:rPr>
          <w:b/>
          <w:bCs/>
          <w:color w:val="FF0000"/>
          <w:lang w:eastAsia="en-US"/>
        </w:rPr>
      </w:pPr>
    </w:p>
    <w:p w:rsidR="007306CC" w:rsidRPr="0073188D" w:rsidRDefault="007306CC" w:rsidP="007306CC">
      <w:pPr>
        <w:suppressAutoHyphens w:val="0"/>
        <w:spacing w:after="120" w:line="276" w:lineRule="auto"/>
        <w:jc w:val="center"/>
        <w:rPr>
          <w:b/>
          <w:bCs/>
          <w:u w:val="single"/>
          <w:lang w:eastAsia="bg-BG"/>
        </w:rPr>
      </w:pPr>
      <w:r w:rsidRPr="0073188D">
        <w:rPr>
          <w:b/>
          <w:bCs/>
          <w:u w:val="single"/>
          <w:lang w:eastAsia="bg-BG"/>
        </w:rPr>
        <w:lastRenderedPageBreak/>
        <w:t>МЕТОДИКАТА СЕ ПРИЛАГА ЗА ВСИЧКИ ОБОСОБЕНИ ПОЗИЦИИ!!!</w:t>
      </w:r>
    </w:p>
    <w:p w:rsidR="007306CC" w:rsidRPr="00767038" w:rsidRDefault="007306CC" w:rsidP="00C652D0">
      <w:pPr>
        <w:spacing w:line="276" w:lineRule="auto"/>
        <w:ind w:firstLine="567"/>
        <w:jc w:val="both"/>
        <w:rPr>
          <w:rFonts w:eastAsia="Calibri"/>
          <w:b/>
          <w:color w:val="FF0000"/>
          <w:u w:val="single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b/>
          <w:bCs/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 xml:space="preserve">В съответствие с изискванията на чл. 70, ал. 7 от ЗОП посочваме </w:t>
      </w:r>
      <w:r w:rsidRPr="0073188D">
        <w:rPr>
          <w:b/>
          <w:bCs/>
          <w:color w:val="000000"/>
          <w:lang w:eastAsia="bg-BG" w:bidi="bg-BG"/>
        </w:rPr>
        <w:t xml:space="preserve">Методиката за комплексна оценка </w:t>
      </w:r>
      <w:r w:rsidRPr="0073188D">
        <w:rPr>
          <w:color w:val="000000"/>
          <w:lang w:eastAsia="bg-BG" w:bidi="bg-BG"/>
        </w:rPr>
        <w:t xml:space="preserve">и начина за определяне на оценката по всеки показател на офертите. </w:t>
      </w:r>
    </w:p>
    <w:p w:rsidR="0073188D" w:rsidRPr="0073188D" w:rsidRDefault="0073188D" w:rsidP="0073188D">
      <w:pPr>
        <w:widowControl w:val="0"/>
        <w:shd w:val="clear" w:color="auto" w:fill="FFFFFF"/>
        <w:suppressAutoHyphens w:val="0"/>
        <w:spacing w:line="259" w:lineRule="exact"/>
        <w:ind w:firstLine="708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hd w:val="clear" w:color="auto" w:fill="FFFFFF"/>
        <w:suppressAutoHyphens w:val="0"/>
        <w:spacing w:line="259" w:lineRule="exact"/>
        <w:ind w:firstLine="708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Методиката съдържа точни указания за извършване на оценка по всеки показател и за определяне на комплексната оценка на съответна, допусната до този етап на процедурата оферта.</w:t>
      </w:r>
    </w:p>
    <w:p w:rsidR="0073188D" w:rsidRPr="0073188D" w:rsidRDefault="0073188D" w:rsidP="0073188D">
      <w:pPr>
        <w:widowControl w:val="0"/>
        <w:shd w:val="clear" w:color="auto" w:fill="FFFFFF"/>
        <w:suppressAutoHyphens w:val="0"/>
        <w:spacing w:line="259" w:lineRule="exact"/>
        <w:ind w:firstLine="708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hd w:val="clear" w:color="auto" w:fill="FFFFFF"/>
        <w:suppressAutoHyphens w:val="0"/>
        <w:spacing w:line="259" w:lineRule="exact"/>
        <w:ind w:firstLine="708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Обществената поръчка се възлага въз основа на „икономически най-изгодната оферта“.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Икономически най-изгодната оферта се определя въз основа на критерий за възлагане „оптимално съотношение качество/цена“, съгласно чл. 70, ал. 2, т. 3 от ЗОП.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 xml:space="preserve">Класирането на допуснатите до оценка оферти се извършва на база получената от всяка оферта </w:t>
      </w:r>
      <w:r w:rsidRPr="0073188D">
        <w:rPr>
          <w:b/>
          <w:bCs/>
          <w:color w:val="000000"/>
          <w:lang w:eastAsia="bg-BG" w:bidi="bg-BG"/>
        </w:rPr>
        <w:t xml:space="preserve">Комплексна оценка“ (КО). </w:t>
      </w:r>
      <w:r w:rsidRPr="0073188D">
        <w:rPr>
          <w:color w:val="000000"/>
          <w:lang w:eastAsia="bg-BG" w:bidi="bg-BG"/>
        </w:rPr>
        <w:t>Комплексната оценка представлява сума от индивидуалните оценки по определените предварително от възложителя показатели, отразяващи оптималното съотношение качество/цена, както следва: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0"/>
        <w:gridCol w:w="2319"/>
      </w:tblGrid>
      <w:tr w:rsidR="0073188D" w:rsidRPr="0073188D" w:rsidTr="0073188D">
        <w:trPr>
          <w:trHeight w:val="1032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b/>
                <w:bCs/>
                <w:color w:val="000000"/>
                <w:lang w:eastAsia="bg-BG" w:bidi="bg-BG"/>
              </w:rPr>
            </w:pP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b/>
                <w:bCs/>
                <w:color w:val="000000"/>
                <w:lang w:eastAsia="bg-BG" w:bidi="bg-BG"/>
              </w:rPr>
            </w:pP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center"/>
              <w:rPr>
                <w:color w:val="000000"/>
                <w:lang w:eastAsia="bg-BG" w:bidi="bg-BG"/>
              </w:rPr>
            </w:pPr>
            <w:r w:rsidRPr="0073188D">
              <w:rPr>
                <w:b/>
                <w:bCs/>
                <w:color w:val="000000"/>
                <w:lang w:eastAsia="bg-BG" w:bidi="bg-BG"/>
              </w:rPr>
              <w:t>Показател - П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b/>
                <w:bCs/>
                <w:color w:val="000000"/>
                <w:lang w:eastAsia="bg-BG" w:bidi="bg-BG"/>
              </w:rPr>
            </w:pP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center"/>
              <w:rPr>
                <w:color w:val="000000"/>
                <w:lang w:eastAsia="bg-BG" w:bidi="bg-BG"/>
              </w:rPr>
            </w:pPr>
            <w:r w:rsidRPr="0073188D">
              <w:rPr>
                <w:b/>
                <w:bCs/>
                <w:color w:val="000000"/>
                <w:lang w:eastAsia="bg-BG" w:bidi="bg-BG"/>
              </w:rPr>
              <w:t>Максимално възможен брой точки</w:t>
            </w:r>
          </w:p>
        </w:tc>
      </w:tr>
      <w:tr w:rsidR="0073188D" w:rsidRPr="0073188D" w:rsidTr="0073188D">
        <w:trPr>
          <w:trHeight w:val="374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EECE1" w:themeFill="background2"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color w:val="000000"/>
                <w:lang w:eastAsia="bg-BG" w:bidi="bg-BG"/>
              </w:rPr>
              <w:t>П1 - Техническо предложение за изпълнение на поръчката (</w:t>
            </w:r>
            <w:proofErr w:type="spellStart"/>
            <w:r w:rsidRPr="0073188D">
              <w:rPr>
                <w:color w:val="000000"/>
                <w:lang w:eastAsia="bg-BG" w:bidi="bg-BG"/>
              </w:rPr>
              <w:t>Тп</w:t>
            </w:r>
            <w:proofErr w:type="spellEnd"/>
            <w:r w:rsidRPr="0073188D">
              <w:rPr>
                <w:color w:val="000000"/>
                <w:lang w:eastAsia="bg-BG" w:bidi="bg-BG"/>
              </w:rPr>
              <w:t>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center"/>
              <w:rPr>
                <w:b/>
                <w:color w:val="000000"/>
                <w:lang w:eastAsia="bg-BG" w:bidi="bg-BG"/>
              </w:rPr>
            </w:pP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center"/>
              <w:rPr>
                <w:b/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50</w:t>
            </w:r>
          </w:p>
        </w:tc>
      </w:tr>
      <w:tr w:rsidR="0073188D" w:rsidRPr="0073188D" w:rsidTr="0073188D">
        <w:trPr>
          <w:trHeight w:val="499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EECE1" w:themeFill="background2"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color w:val="000000"/>
                <w:lang w:eastAsia="bg-BG" w:bidi="bg-BG"/>
              </w:rPr>
              <w:t>П2 - Ценово предложение (</w:t>
            </w:r>
            <w:proofErr w:type="spellStart"/>
            <w:r w:rsidRPr="0073188D">
              <w:rPr>
                <w:color w:val="000000"/>
                <w:lang w:eastAsia="bg-BG" w:bidi="bg-BG"/>
              </w:rPr>
              <w:t>Цп</w:t>
            </w:r>
            <w:proofErr w:type="spellEnd"/>
            <w:r w:rsidRPr="0073188D">
              <w:rPr>
                <w:color w:val="000000"/>
                <w:lang w:eastAsia="bg-BG" w:bidi="bg-BG"/>
              </w:rPr>
              <w:t>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center"/>
              <w:rPr>
                <w:b/>
                <w:color w:val="000000"/>
                <w:lang w:eastAsia="bg-BG" w:bidi="bg-BG"/>
              </w:rPr>
            </w:pP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center"/>
              <w:rPr>
                <w:b/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50</w:t>
            </w:r>
          </w:p>
        </w:tc>
      </w:tr>
    </w:tbl>
    <w:p w:rsidR="0073188D" w:rsidRPr="0073188D" w:rsidRDefault="0073188D" w:rsidP="0073188D">
      <w:pPr>
        <w:widowControl w:val="0"/>
        <w:tabs>
          <w:tab w:val="left" w:pos="8794"/>
        </w:tabs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tabs>
          <w:tab w:val="left" w:pos="8794"/>
        </w:tabs>
        <w:suppressAutoHyphens w:val="0"/>
        <w:spacing w:line="240" w:lineRule="auto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 xml:space="preserve">Комплексна оценка </w:t>
      </w:r>
      <w:r w:rsidRPr="0073188D">
        <w:rPr>
          <w:b/>
          <w:bCs/>
          <w:color w:val="000000"/>
          <w:lang w:eastAsia="bg-BG" w:bidi="bg-BG"/>
        </w:rPr>
        <w:t xml:space="preserve">(КО) = </w:t>
      </w:r>
      <w:proofErr w:type="spellStart"/>
      <w:r w:rsidRPr="0073188D">
        <w:rPr>
          <w:b/>
          <w:bCs/>
          <w:color w:val="000000"/>
          <w:lang w:eastAsia="bg-BG" w:bidi="bg-BG"/>
        </w:rPr>
        <w:t>Тп</w:t>
      </w:r>
      <w:proofErr w:type="spellEnd"/>
      <w:r w:rsidRPr="0073188D">
        <w:rPr>
          <w:b/>
          <w:bCs/>
          <w:color w:val="000000"/>
          <w:lang w:eastAsia="bg-BG" w:bidi="bg-BG"/>
        </w:rPr>
        <w:t xml:space="preserve"> + </w:t>
      </w:r>
      <w:proofErr w:type="spellStart"/>
      <w:r w:rsidRPr="0073188D">
        <w:rPr>
          <w:b/>
          <w:bCs/>
          <w:color w:val="000000"/>
          <w:lang w:eastAsia="bg-BG" w:bidi="bg-BG"/>
        </w:rPr>
        <w:t>Цп</w:t>
      </w:r>
      <w:proofErr w:type="spellEnd"/>
      <w:r w:rsidRPr="0073188D">
        <w:rPr>
          <w:b/>
          <w:bCs/>
          <w:color w:val="000000"/>
          <w:lang w:eastAsia="bg-BG" w:bidi="bg-BG"/>
        </w:rPr>
        <w:tab/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 xml:space="preserve">На първо място се класира участникът, събрал най-много точки. Максималният брой точки, който може да получи участник на комплексна оценка, е </w:t>
      </w:r>
      <w:r w:rsidRPr="0073188D">
        <w:rPr>
          <w:b/>
          <w:bCs/>
          <w:color w:val="000000"/>
          <w:lang w:eastAsia="bg-BG" w:bidi="bg-BG"/>
        </w:rPr>
        <w:t>100 т.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Указания за определяне на оценката по всеки показател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1. Показател П1 „ТЕХНИЧЕСКО ПРЕДЛОЖЕНИЕ” (</w:t>
      </w:r>
      <w:proofErr w:type="spellStart"/>
      <w:r w:rsidRPr="0073188D">
        <w:rPr>
          <w:b/>
          <w:bCs/>
          <w:color w:val="000000"/>
          <w:lang w:eastAsia="bg-BG" w:bidi="bg-BG"/>
        </w:rPr>
        <w:t>Тп</w:t>
      </w:r>
      <w:proofErr w:type="spellEnd"/>
      <w:r w:rsidRPr="0073188D">
        <w:rPr>
          <w:b/>
          <w:bCs/>
          <w:color w:val="000000"/>
          <w:lang w:eastAsia="bg-BG" w:bidi="bg-BG"/>
        </w:rPr>
        <w:t>)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Максимален брой точки по показателя - 50 точки.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567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>Оценката по показател П1 (</w:t>
      </w:r>
      <w:proofErr w:type="spellStart"/>
      <w:r w:rsidRPr="0073188D">
        <w:rPr>
          <w:color w:val="000000"/>
          <w:lang w:eastAsia="bg-BG" w:bidi="bg-BG"/>
        </w:rPr>
        <w:t>Тп</w:t>
      </w:r>
      <w:proofErr w:type="spellEnd"/>
      <w:r w:rsidRPr="0073188D">
        <w:rPr>
          <w:color w:val="000000"/>
          <w:lang w:eastAsia="bg-BG" w:bidi="bg-BG"/>
        </w:rPr>
        <w:t xml:space="preserve">) се формира на базата на представените от всеки участник технически предложения и се извършва по точковата система на оценяване по скалата посочена по-долу. То трябва задължително да е съобразено с Техническата спецификация, проектната документация и останалите изисквания, заложени в документацията за участие и да не бъде преценено като „неподходяща оферта“. На оценка подлежат единствено предложения, които отговарят на минималните изисквания на възложителя към съдържанието на отделните части на офертата,  на другите изисквания на възложителя, посочени в документацията за участие, на Техническата спецификация и </w:t>
      </w:r>
      <w:r w:rsidRPr="0073188D">
        <w:rPr>
          <w:color w:val="000000"/>
          <w:lang w:eastAsia="bg-BG" w:bidi="bg-BG"/>
        </w:rPr>
        <w:lastRenderedPageBreak/>
        <w:t>инвестиционен проект за обекта, на действащото законодателство, на съществуващите технически изисквания и стандарти и са съобразени с предмета на поръчката,</w:t>
      </w:r>
      <w:r w:rsidRPr="0073188D">
        <w:rPr>
          <w:lang w:val="en-GB" w:eastAsia="en-US"/>
        </w:rPr>
        <w:t xml:space="preserve"> </w:t>
      </w:r>
      <w:r w:rsidRPr="0073188D">
        <w:rPr>
          <w:color w:val="000000"/>
          <w:lang w:eastAsia="bg-BG" w:bidi="bg-BG"/>
        </w:rPr>
        <w:t>като всяко едно от така изброените изисквания следва да се разбира като „предварително обявените условия за изпълнение на поръчката” по смисъла на чл. 107, т. 2, буква „а” от ЗОП.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i/>
          <w:i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hd w:val="clear" w:color="auto" w:fill="FFFFFF"/>
        <w:suppressAutoHyphens w:val="0"/>
        <w:spacing w:line="259" w:lineRule="exact"/>
        <w:ind w:firstLine="708"/>
        <w:jc w:val="both"/>
        <w:rPr>
          <w:color w:val="000000"/>
          <w:lang w:eastAsia="bg-BG" w:bidi="bg-BG"/>
        </w:rPr>
      </w:pPr>
      <w:r w:rsidRPr="0073188D">
        <w:rPr>
          <w:b/>
          <w:i/>
          <w:iCs/>
          <w:color w:val="000000"/>
          <w:lang w:eastAsia="bg-BG" w:bidi="bg-BG"/>
        </w:rPr>
        <w:t>„Неподходяща оферта“</w:t>
      </w:r>
      <w:r w:rsidRPr="0073188D">
        <w:rPr>
          <w:color w:val="000000"/>
          <w:lang w:eastAsia="bg-BG" w:bidi="bg-BG"/>
        </w:rPr>
        <w:t xml:space="preserve"> е тази оферта, която не отговаря на техническите спецификации и на изискванията за изпълнение на поръчката или е подадена от участник, който не отговаря на поставените критерии за подбор или за когото е налице някое от посочените в процедурата основания за отстраняване.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Техническото предложение представлява предложение за цялостния подход за изпълнение на обекта, при което трябва задължително да съдържа най-малко следните изискуеми елементи: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 xml:space="preserve">МЕ.1. </w:t>
      </w:r>
      <w:r w:rsidRPr="0073188D">
        <w:rPr>
          <w:color w:val="000000"/>
          <w:lang w:eastAsia="bg-BG" w:bidi="bg-BG"/>
        </w:rPr>
        <w:t>Предложение за подхода и организация на изпълнение на обекта, включващ технологията и последователността на извършване на СМР (изпълнението на обекта следва да е разделено на етапи по дейности и задачи съобразно организацията на участника, при съблюдаване предварително обявените условия на възложителя), като е представено съблюдаването на общите изисквания за безопасни и здравословни условия на труд в строителството.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 xml:space="preserve">МЕ.2. </w:t>
      </w:r>
      <w:r w:rsidRPr="0073188D">
        <w:rPr>
          <w:color w:val="000000"/>
          <w:lang w:eastAsia="bg-BG" w:bidi="bg-BG"/>
        </w:rPr>
        <w:t>Предложение за организацията на обезпечаване на необходимите ресурси, организация на работата на човешкия ресурс за всички дейности, включени в поръчката, с посочена йерархична схема, при което е посочено как се разпределят основните отговорности и дейностите между предвидения от участника човешки ресурс, в съответствие с изложението на подхода за изпълнение на обекта и предварително обявените условия на възложителя.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 xml:space="preserve">МЕ.З. </w:t>
      </w:r>
      <w:r w:rsidRPr="0073188D">
        <w:rPr>
          <w:color w:val="000000"/>
          <w:lang w:eastAsia="bg-BG" w:bidi="bg-BG"/>
        </w:rPr>
        <w:t>Предложение по отношение процеса на комуникация и координация, контрол и субординация както между експертите на изпълнителя, така и между заинтересованите лица в рамките на изпълнението на поръчката, включително при допустимите варианти по прекъсването й.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20"/>
        <w:jc w:val="both"/>
        <w:rPr>
          <w:color w:val="000000"/>
          <w:lang w:eastAsia="bg-BG" w:bidi="bg-BG"/>
        </w:rPr>
      </w:pPr>
      <w:r w:rsidRPr="0073188D">
        <w:rPr>
          <w:b/>
          <w:color w:val="000000"/>
          <w:lang w:eastAsia="bg-BG" w:bidi="bg-BG"/>
        </w:rPr>
        <w:t>МЕ.4.</w:t>
      </w:r>
      <w:r w:rsidRPr="0073188D">
        <w:rPr>
          <w:color w:val="000000"/>
          <w:lang w:eastAsia="bg-BG" w:bidi="bg-BG"/>
        </w:rPr>
        <w:t xml:space="preserve"> Предложение за реализация на идентифицираните като минимално необходими базови мерки касаещи социални характеристики, а именно намаляване на негативното въздействие от изпълнението върху кръга засегнати лица. Мерките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й.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360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>Базовите мерки, идентифицирани като минимално необходими, са:</w:t>
      </w:r>
    </w:p>
    <w:p w:rsidR="0073188D" w:rsidRPr="0073188D" w:rsidRDefault="0073188D" w:rsidP="0073188D">
      <w:pPr>
        <w:widowControl w:val="0"/>
        <w:numPr>
          <w:ilvl w:val="0"/>
          <w:numId w:val="29"/>
        </w:numPr>
        <w:suppressAutoHyphens w:val="0"/>
        <w:spacing w:line="240" w:lineRule="auto"/>
        <w:ind w:left="0" w:firstLine="360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 xml:space="preserve">Организиране на работния процес, така че да се не се прекъсва транспортната свързаност между крайните </w:t>
      </w:r>
      <w:r w:rsidRPr="0073188D">
        <w:rPr>
          <w:lang w:eastAsia="bg-BG" w:bidi="bg-BG"/>
        </w:rPr>
        <w:t xml:space="preserve">точки на </w:t>
      </w:r>
      <w:r w:rsidRPr="0073188D">
        <w:rPr>
          <w:b/>
          <w:lang w:eastAsia="bg-BG" w:bidi="bg-BG"/>
        </w:rPr>
        <w:t>уличните</w:t>
      </w:r>
      <w:r w:rsidRPr="0073188D">
        <w:rPr>
          <w:lang w:eastAsia="bg-BG" w:bidi="bg-BG"/>
        </w:rPr>
        <w:t xml:space="preserve"> отсечки</w:t>
      </w:r>
      <w:r w:rsidRPr="0073188D">
        <w:rPr>
          <w:color w:val="000000"/>
          <w:lang w:eastAsia="bg-BG" w:bidi="bg-BG"/>
        </w:rPr>
        <w:t>;</w:t>
      </w:r>
    </w:p>
    <w:p w:rsidR="0073188D" w:rsidRPr="0073188D" w:rsidRDefault="0073188D" w:rsidP="0073188D">
      <w:pPr>
        <w:widowControl w:val="0"/>
        <w:numPr>
          <w:ilvl w:val="0"/>
          <w:numId w:val="29"/>
        </w:numPr>
        <w:suppressAutoHyphens w:val="0"/>
        <w:spacing w:line="240" w:lineRule="auto"/>
        <w:ind w:left="0" w:firstLine="360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>Информиране на постоянно и временно пребиваващите граждани в обхвата на работите относно предстоящи строително-монтажни работи.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left="360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20"/>
        <w:jc w:val="both"/>
        <w:rPr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 xml:space="preserve">МЕ.5. </w:t>
      </w:r>
      <w:r w:rsidRPr="0073188D">
        <w:rPr>
          <w:color w:val="000000"/>
          <w:lang w:eastAsia="bg-BG" w:bidi="bg-BG"/>
        </w:rPr>
        <w:t xml:space="preserve">Предложение за реализация на идентифицираните като минимално необходими базови мерки за ограничаване на негативното влияние от строителния процес </w:t>
      </w:r>
      <w:r w:rsidRPr="0073188D">
        <w:rPr>
          <w:color w:val="000000"/>
          <w:lang w:eastAsia="bg-BG" w:bidi="bg-BG"/>
        </w:rPr>
        <w:lastRenderedPageBreak/>
        <w:t>върху околната среда. Мерките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и.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360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>Базовите мерки, идентифицирани като минимално необходими, са:</w:t>
      </w:r>
    </w:p>
    <w:p w:rsidR="0073188D" w:rsidRPr="0073188D" w:rsidRDefault="0073188D" w:rsidP="0073188D">
      <w:pPr>
        <w:widowControl w:val="0"/>
        <w:numPr>
          <w:ilvl w:val="0"/>
          <w:numId w:val="29"/>
        </w:numPr>
        <w:suppressAutoHyphens w:val="0"/>
        <w:spacing w:line="240" w:lineRule="auto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>Недопускане на замърсяване на работните и прилежащите площи с отработени горива, масла и др. работни течности от механизацията;</w:t>
      </w:r>
    </w:p>
    <w:p w:rsidR="0073188D" w:rsidRPr="0073188D" w:rsidRDefault="0073188D" w:rsidP="0073188D">
      <w:pPr>
        <w:widowControl w:val="0"/>
        <w:numPr>
          <w:ilvl w:val="0"/>
          <w:numId w:val="29"/>
        </w:numPr>
        <w:suppressAutoHyphens w:val="0"/>
        <w:spacing w:line="240" w:lineRule="auto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>Намаляване запрашеността на атмосферния въздух при изпълнение на поръчката;</w:t>
      </w:r>
    </w:p>
    <w:p w:rsidR="0073188D" w:rsidRPr="0073188D" w:rsidRDefault="0073188D" w:rsidP="0073188D">
      <w:pPr>
        <w:widowControl w:val="0"/>
        <w:numPr>
          <w:ilvl w:val="0"/>
          <w:numId w:val="29"/>
        </w:numPr>
        <w:suppressAutoHyphens w:val="0"/>
        <w:spacing w:line="240" w:lineRule="auto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>Управление на генерираните строителни отпадъци в процеса на строителство.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spacing w:line="276" w:lineRule="auto"/>
        <w:ind w:left="20" w:right="20" w:firstLine="580"/>
        <w:jc w:val="both"/>
        <w:rPr>
          <w:lang w:eastAsia="bg-BG"/>
        </w:rPr>
      </w:pPr>
      <w:bookmarkStart w:id="1" w:name="bookmark4"/>
      <w:r w:rsidRPr="0073188D">
        <w:rPr>
          <w:lang w:eastAsia="bg-BG"/>
        </w:rPr>
        <w:t>Предвид посочените изисквания,</w:t>
      </w:r>
      <w:r w:rsidRPr="0073188D">
        <w:rPr>
          <w:b/>
          <w:bCs/>
          <w:i/>
          <w:iCs/>
          <w:shd w:val="clear" w:color="auto" w:fill="FFFFFF"/>
          <w:lang w:eastAsia="bg-BG"/>
        </w:rPr>
        <w:t xml:space="preserve"> преди да премине към оценка на показателите за качество,</w:t>
      </w:r>
      <w:r w:rsidRPr="0073188D">
        <w:rPr>
          <w:lang w:eastAsia="bg-BG"/>
        </w:rPr>
        <w:t xml:space="preserve"> Комисията, назначена да проведе процедурата проверява дали техническите предложения отговарят на гореизброените изисквания и дали обезпечават качественото изпълнение на поръчката, отчитайки спецификите й.</w:t>
      </w:r>
    </w:p>
    <w:p w:rsidR="0073188D" w:rsidRPr="0073188D" w:rsidRDefault="0073188D" w:rsidP="0073188D">
      <w:pPr>
        <w:keepNext/>
        <w:keepLines/>
        <w:widowControl w:val="0"/>
        <w:suppressAutoHyphens w:val="0"/>
        <w:spacing w:line="240" w:lineRule="auto"/>
        <w:jc w:val="both"/>
        <w:outlineLvl w:val="6"/>
        <w:rPr>
          <w:b/>
          <w:bCs/>
          <w:color w:val="FF0000"/>
          <w:lang w:eastAsia="bg-BG" w:bidi="bg-BG"/>
        </w:rPr>
      </w:pPr>
    </w:p>
    <w:p w:rsidR="0073188D" w:rsidRPr="0073188D" w:rsidRDefault="0073188D" w:rsidP="0073188D">
      <w:pPr>
        <w:keepNext/>
        <w:keepLines/>
        <w:widowControl w:val="0"/>
        <w:suppressAutoHyphens w:val="0"/>
        <w:spacing w:line="240" w:lineRule="auto"/>
        <w:jc w:val="both"/>
        <w:outlineLvl w:val="6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ВАЖНО!</w:t>
      </w:r>
      <w:bookmarkEnd w:id="1"/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Участник се отстранява от процедурата:</w:t>
      </w:r>
    </w:p>
    <w:p w:rsidR="0073188D" w:rsidRPr="0073188D" w:rsidRDefault="0073188D" w:rsidP="0073188D">
      <w:pPr>
        <w:widowControl w:val="0"/>
        <w:numPr>
          <w:ilvl w:val="0"/>
          <w:numId w:val="30"/>
        </w:numPr>
        <w:suppressAutoHyphens w:val="0"/>
        <w:spacing w:line="240" w:lineRule="auto"/>
        <w:ind w:left="0" w:firstLine="360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Ако не е разработил техническото предложение съгласно техническите спецификации и предварително обявените условия на ВЪЗЛОЖИТЕЛЯ.</w:t>
      </w:r>
    </w:p>
    <w:p w:rsidR="0073188D" w:rsidRPr="0073188D" w:rsidRDefault="0073188D" w:rsidP="0073188D">
      <w:pPr>
        <w:widowControl w:val="0"/>
        <w:numPr>
          <w:ilvl w:val="0"/>
          <w:numId w:val="30"/>
        </w:numPr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 xml:space="preserve">Ако се установи несъответствие между който и да е от елементите на техническото предложение и изискуемия Линеен календарен график и/или диаграма на работната ръка и/или диаграма на механизацията </w:t>
      </w:r>
      <w:r w:rsidRPr="0073188D">
        <w:rPr>
          <w:b/>
          <w:bCs/>
          <w:color w:val="000000"/>
          <w:u w:val="single"/>
          <w:lang w:eastAsia="bg-BG" w:bidi="bg-BG"/>
        </w:rPr>
        <w:t>(неподлежащи на оценка)</w:t>
      </w:r>
      <w:r w:rsidRPr="0073188D">
        <w:rPr>
          <w:b/>
          <w:bCs/>
          <w:color w:val="000000"/>
          <w:lang w:eastAsia="bg-BG" w:bidi="bg-BG"/>
        </w:rPr>
        <w:t>.</w:t>
      </w:r>
    </w:p>
    <w:p w:rsidR="0073188D" w:rsidRPr="0073188D" w:rsidRDefault="0073188D" w:rsidP="0073188D">
      <w:pPr>
        <w:widowControl w:val="0"/>
        <w:numPr>
          <w:ilvl w:val="0"/>
          <w:numId w:val="30"/>
        </w:numPr>
        <w:tabs>
          <w:tab w:val="left" w:pos="720"/>
        </w:tabs>
        <w:suppressAutoHyphens w:val="0"/>
        <w:spacing w:line="240" w:lineRule="auto"/>
        <w:ind w:left="0" w:firstLine="360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color w:val="000000"/>
          <w:lang w:eastAsia="bg-BG" w:bidi="bg-BG"/>
        </w:rPr>
        <w:t xml:space="preserve">Ако </w:t>
      </w:r>
      <w:r w:rsidRPr="0073188D">
        <w:rPr>
          <w:b/>
          <w:bCs/>
          <w:color w:val="000000"/>
          <w:lang w:eastAsia="bg-BG" w:bidi="bg-BG"/>
        </w:rPr>
        <w:t>е налице несъответствие/несъгласуваност/противоречие между елементи на отделните раздели/части/компоненти на техническото предложение.</w:t>
      </w:r>
    </w:p>
    <w:p w:rsidR="0073188D" w:rsidRPr="0073188D" w:rsidRDefault="0073188D" w:rsidP="0073188D">
      <w:pPr>
        <w:widowControl w:val="0"/>
        <w:numPr>
          <w:ilvl w:val="0"/>
          <w:numId w:val="30"/>
        </w:numPr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 xml:space="preserve">Ако съдържат паразитни текстове, напр. отнасящи се до други процедури, други възложители,  изпълнители или обекти, водещи до невъзможност да се идентифицира текстът като </w:t>
      </w:r>
      <w:proofErr w:type="spellStart"/>
      <w:r w:rsidRPr="0073188D">
        <w:rPr>
          <w:b/>
          <w:bCs/>
          <w:color w:val="000000"/>
          <w:lang w:eastAsia="bg-BG" w:bidi="bg-BG"/>
        </w:rPr>
        <w:t>принадлежен</w:t>
      </w:r>
      <w:proofErr w:type="spellEnd"/>
      <w:r w:rsidRPr="0073188D">
        <w:rPr>
          <w:b/>
          <w:bCs/>
          <w:color w:val="000000"/>
          <w:lang w:eastAsia="bg-BG" w:bidi="bg-BG"/>
        </w:rPr>
        <w:t xml:space="preserve"> към настоящата поръчка;</w:t>
      </w:r>
    </w:p>
    <w:p w:rsidR="0073188D" w:rsidRPr="0073188D" w:rsidRDefault="0073188D" w:rsidP="0073188D">
      <w:pPr>
        <w:widowControl w:val="0"/>
        <w:numPr>
          <w:ilvl w:val="0"/>
          <w:numId w:val="30"/>
        </w:numPr>
        <w:shd w:val="clear" w:color="auto" w:fill="FFFFFF"/>
        <w:tabs>
          <w:tab w:val="left" w:pos="720"/>
        </w:tabs>
        <w:suppressAutoHyphens w:val="0"/>
        <w:spacing w:line="240" w:lineRule="auto"/>
        <w:ind w:left="0" w:firstLine="360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Ако съдържат в себе си записи, от които може да се заключи, че не обезпечават качественото и срочно изпълнение на поръчката, изразяващи се в:</w:t>
      </w:r>
    </w:p>
    <w:p w:rsidR="0073188D" w:rsidRPr="0073188D" w:rsidRDefault="0073188D" w:rsidP="0073188D">
      <w:pPr>
        <w:widowControl w:val="0"/>
        <w:numPr>
          <w:ilvl w:val="0"/>
          <w:numId w:val="30"/>
        </w:numPr>
        <w:shd w:val="clear" w:color="auto" w:fill="FFFFFF"/>
        <w:suppressAutoHyphens w:val="0"/>
        <w:spacing w:line="240" w:lineRule="auto"/>
        <w:ind w:left="0" w:firstLine="360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краен резултат, различен от целения с настоящата процедура;</w:t>
      </w:r>
    </w:p>
    <w:p w:rsidR="0073188D" w:rsidRPr="0073188D" w:rsidRDefault="0073188D" w:rsidP="0073188D">
      <w:pPr>
        <w:widowControl w:val="0"/>
        <w:numPr>
          <w:ilvl w:val="0"/>
          <w:numId w:val="30"/>
        </w:numPr>
        <w:shd w:val="clear" w:color="auto" w:fill="FFFFFF"/>
        <w:tabs>
          <w:tab w:val="left" w:pos="720"/>
        </w:tabs>
        <w:suppressAutoHyphens w:val="0"/>
        <w:spacing w:line="240" w:lineRule="auto"/>
        <w:ind w:left="0" w:firstLine="360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посочване на дейности и/или методи, които си противоречат и при прилагането би било невъзможно постигането на крайния резултат;</w:t>
      </w:r>
    </w:p>
    <w:p w:rsidR="0073188D" w:rsidRPr="0073188D" w:rsidRDefault="0073188D" w:rsidP="0073188D">
      <w:pPr>
        <w:widowControl w:val="0"/>
        <w:tabs>
          <w:tab w:val="left" w:pos="720"/>
        </w:tabs>
        <w:suppressAutoHyphens w:val="0"/>
        <w:spacing w:line="240" w:lineRule="auto"/>
        <w:ind w:left="360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color w:val="000000"/>
          <w:u w:val="single"/>
          <w:lang w:eastAsia="bg-BG" w:bidi="bg-BG"/>
        </w:rPr>
      </w:pPr>
      <w:r w:rsidRPr="0073188D">
        <w:rPr>
          <w:b/>
          <w:color w:val="000000"/>
          <w:u w:val="single"/>
          <w:lang w:eastAsia="bg-BG" w:bidi="bg-BG"/>
        </w:rPr>
        <w:t>Оценката на конкретната оферта се определя при следния ред: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0"/>
        <w:gridCol w:w="1800"/>
      </w:tblGrid>
      <w:tr w:rsidR="0073188D" w:rsidRPr="0073188D" w:rsidTr="0073188D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i/>
                <w:lang w:eastAsia="bg-BG"/>
              </w:rPr>
            </w:pPr>
            <w:r w:rsidRPr="0073188D">
              <w:rPr>
                <w:rFonts w:eastAsia="Tahoma"/>
                <w:b/>
                <w:color w:val="000000"/>
                <w:lang w:eastAsia="bg-BG" w:bidi="bg-BG"/>
              </w:rPr>
              <w:t>Техническо предложение за изпълнение на поръчката (</w:t>
            </w:r>
            <w:proofErr w:type="spellStart"/>
            <w:r w:rsidRPr="0073188D">
              <w:rPr>
                <w:rFonts w:eastAsia="Tahoma"/>
                <w:b/>
                <w:color w:val="000000"/>
                <w:lang w:eastAsia="bg-BG" w:bidi="bg-BG"/>
              </w:rPr>
              <w:t>Тп</w:t>
            </w:r>
            <w:proofErr w:type="spellEnd"/>
            <w:r w:rsidRPr="0073188D">
              <w:rPr>
                <w:rFonts w:eastAsia="Tahoma"/>
                <w:b/>
                <w:color w:val="000000"/>
                <w:lang w:eastAsia="bg-BG" w:bidi="bg-BG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center"/>
              <w:rPr>
                <w:b/>
                <w:lang w:eastAsia="bg-BG"/>
              </w:rPr>
            </w:pPr>
            <w:r w:rsidRPr="0073188D">
              <w:rPr>
                <w:b/>
                <w:lang w:eastAsia="bg-BG"/>
              </w:rPr>
              <w:t>Конкретна оценка, точки</w:t>
            </w:r>
          </w:p>
        </w:tc>
      </w:tr>
      <w:tr w:rsidR="0073188D" w:rsidRPr="0073188D" w:rsidTr="0073188D">
        <w:trPr>
          <w:trHeight w:val="2708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lang w:eastAsia="bg-BG"/>
              </w:rPr>
            </w:pPr>
            <w:r w:rsidRPr="0073188D">
              <w:rPr>
                <w:rFonts w:eastAsia="Tahoma"/>
                <w:color w:val="000000"/>
                <w:lang w:eastAsia="bg-BG" w:bidi="bg-BG"/>
              </w:rPr>
              <w:lastRenderedPageBreak/>
              <w:t xml:space="preserve">Техническото предложение отговоря на минимално поставените изисквания за съдържание, качество и наличие на задължително изискуеми елементи и в своята последователност гарантира навременното и спрямо минималните изисквания на техническата спецификация постигане на резултати, </w:t>
            </w:r>
            <w:r w:rsidRPr="0073188D">
              <w:rPr>
                <w:rFonts w:eastAsia="Tahoma"/>
                <w:b/>
                <w:color w:val="000000"/>
                <w:lang w:eastAsia="bg-BG" w:bidi="bg-BG"/>
              </w:rPr>
              <w:t xml:space="preserve">но спрямо него не може да бъде констатирано мотивирано наличие (не просто формално включване или поставяне на текстове) на никое от определените от възложителя </w:t>
            </w:r>
            <w:proofErr w:type="spellStart"/>
            <w:r w:rsidRPr="0073188D">
              <w:rPr>
                <w:rFonts w:eastAsia="Tahoma"/>
                <w:b/>
                <w:color w:val="000000"/>
                <w:lang w:eastAsia="bg-BG" w:bidi="bg-BG"/>
              </w:rPr>
              <w:t>надграждащи</w:t>
            </w:r>
            <w:proofErr w:type="spellEnd"/>
            <w:r w:rsidRPr="0073188D">
              <w:rPr>
                <w:rFonts w:eastAsia="Tahoma"/>
                <w:b/>
                <w:color w:val="000000"/>
                <w:lang w:eastAsia="bg-BG" w:bidi="bg-BG"/>
              </w:rPr>
              <w:t xml:space="preserve"> условия.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t>30,00 точки</w:t>
            </w: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rPr>
                <w:b/>
                <w:lang w:eastAsia="bg-BG"/>
              </w:rPr>
            </w:pPr>
          </w:p>
        </w:tc>
      </w:tr>
      <w:tr w:rsidR="0073188D" w:rsidRPr="0073188D" w:rsidTr="0073188D">
        <w:trPr>
          <w:trHeight w:val="714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color w:val="000000"/>
                <w:lang w:eastAsia="bg-BG" w:bidi="bg-BG"/>
              </w:rPr>
              <w:t xml:space="preserve">Техническо предложение, което отговаря на предварително обявените изисквания на възложителя, съдържа задължително изискуемите елементи и в своята последователност, гарантира навременното и спрямо изискванията на техническата спецификация постигане на резултати, и </w:t>
            </w:r>
            <w:proofErr w:type="spellStart"/>
            <w:r w:rsidRPr="0073188D">
              <w:rPr>
                <w:color w:val="000000"/>
                <w:lang w:eastAsia="bg-BG" w:bidi="bg-BG"/>
              </w:rPr>
              <w:t>надгражда</w:t>
            </w:r>
            <w:proofErr w:type="spellEnd"/>
            <w:r w:rsidRPr="0073188D">
              <w:rPr>
                <w:color w:val="000000"/>
                <w:lang w:eastAsia="bg-BG" w:bidi="bg-BG"/>
              </w:rPr>
              <w:t xml:space="preserve"> минималните изисквания </w:t>
            </w:r>
            <w:r w:rsidRPr="0073188D">
              <w:rPr>
                <w:b/>
                <w:bCs/>
                <w:color w:val="000000"/>
                <w:lang w:eastAsia="bg-BG" w:bidi="bg-BG"/>
              </w:rPr>
              <w:t xml:space="preserve">КАТО спрямо него може да бъде заключено мотивирано наличието на ЕДНО от изброените по-долу условия, </w:t>
            </w:r>
            <w:proofErr w:type="spellStart"/>
            <w:r w:rsidRPr="0073188D">
              <w:rPr>
                <w:b/>
                <w:bCs/>
                <w:color w:val="000000"/>
                <w:lang w:eastAsia="bg-BG" w:bidi="bg-BG"/>
              </w:rPr>
              <w:t>надграждащи</w:t>
            </w:r>
            <w:proofErr w:type="spellEnd"/>
            <w:r w:rsidRPr="0073188D">
              <w:rPr>
                <w:b/>
                <w:bCs/>
                <w:color w:val="000000"/>
                <w:lang w:eastAsia="bg-BG" w:bidi="bg-BG"/>
              </w:rPr>
              <w:t xml:space="preserve"> техническото предложение:</w:t>
            </w: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i/>
                <w:iCs/>
                <w:color w:val="000000"/>
                <w:lang w:eastAsia="bg-BG" w:bidi="bg-BG"/>
              </w:rPr>
              <w:t>УСЛОВИЯ, НАДГРАЖДАЩИ ТЕХНИЧЕСКОТО ПРЕДЛОЖЕНИЕ: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1.</w:t>
            </w:r>
            <w:r w:rsidRPr="0073188D">
              <w:rPr>
                <w:color w:val="000000"/>
                <w:lang w:eastAsia="bg-BG" w:bidi="bg-BG"/>
              </w:rPr>
              <w:t xml:space="preserve"> За всяка задача са посочени ключови моменти при изпълнението, свързаните с тях изходни данни и факторите, които са съществени за навременното и качествено изпълнение на поръчката, и са дефинирани необходимите ресурси за нейното изпълнение (материали, механизация и оборудване, човешки ресурси и др.) с посочени конкретни задължения на отговорния/те ключов/и експерт/и съобразно спецификата на задачата и предложения подход за изпълнение.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2.</w:t>
            </w:r>
            <w:r w:rsidRPr="0073188D">
              <w:rPr>
                <w:color w:val="000000"/>
                <w:lang w:eastAsia="bg-BG" w:bidi="bg-BG"/>
              </w:rPr>
              <w:t xml:space="preserve"> Представена е вътрешна организация като последователност от конкретни мерки, действия и задължения на отговорните експерти, които осигуряват вътрешния контрол на участника при изпълнението на поръчката в обем, който освен да гарантира качественото, навременно изпълнение в съответствие с изискванията на приложимите към изпълнението на поръчката норми, стандарти и практики, обосновава повишаване на ефективността при изпълнението на поръчката.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suppressAutoHyphens w:val="0"/>
              <w:spacing w:line="240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t xml:space="preserve">3. </w:t>
            </w:r>
            <w:r w:rsidRPr="0073188D">
              <w:rPr>
                <w:rFonts w:eastAsia="Tahoma"/>
                <w:color w:val="000000"/>
                <w:lang w:eastAsia="bg-BG" w:bidi="bg-BG"/>
              </w:rPr>
              <w:t xml:space="preserve">Предложени са допълнителни мерки извън базово идентифицираните от възложителя като минимално необходими, касаещи социални характеристики, а именно намаляване на негативното въздействие от изпълнението върху кръга засегнати лица.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</w:t>
            </w:r>
            <w:r w:rsidRPr="0073188D">
              <w:rPr>
                <w:rFonts w:eastAsia="Tahoma"/>
                <w:color w:val="000000"/>
                <w:lang w:eastAsia="bg-BG" w:bidi="bg-BG"/>
              </w:rPr>
              <w:lastRenderedPageBreak/>
              <w:t>относно обхвата и предмета на мярката; и Б). Текущо прилагане на мярката и предприемане и</w:t>
            </w:r>
            <w:r w:rsidRPr="0073188D">
              <w:rPr>
                <w:color w:val="000000"/>
                <w:lang w:eastAsia="bg-BG" w:bidi="bg-BG"/>
              </w:rPr>
              <w:t xml:space="preserve"> прилагане на действия в случаите на отклонение от изпълнението й.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suppressAutoHyphens w:val="0"/>
              <w:spacing w:line="240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4.</w:t>
            </w:r>
            <w:r w:rsidRPr="0073188D">
              <w:rPr>
                <w:color w:val="000000"/>
                <w:lang w:eastAsia="bg-BG" w:bidi="bg-BG"/>
              </w:rPr>
              <w:t xml:space="preserve"> Предложени са допълнителни мерки извън базово идентифицираните от възложителя като минимално необходими, касаещи екологични характеристики, а именно намаляване на негативното въздействие от изпълнението върху околната среда.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</w:t>
            </w:r>
            <w:r w:rsidRPr="0073188D">
              <w:rPr>
                <w:rFonts w:eastAsia="Tahoma"/>
                <w:color w:val="000000"/>
                <w:lang w:eastAsia="bg-BG" w:bidi="bg-BG"/>
              </w:rPr>
              <w:t>й.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lastRenderedPageBreak/>
              <w:t>35,00 точки</w:t>
            </w: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</w:tc>
      </w:tr>
      <w:tr w:rsidR="0073188D" w:rsidRPr="0073188D" w:rsidTr="0073188D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88D" w:rsidRPr="0073188D" w:rsidRDefault="0073188D" w:rsidP="0073188D">
            <w:pPr>
              <w:suppressAutoHyphens w:val="0"/>
              <w:spacing w:line="240" w:lineRule="auto"/>
              <w:jc w:val="both"/>
              <w:rPr>
                <w:rFonts w:ascii="Calibri" w:eastAsia="Calibri" w:hAnsi="Calibri"/>
                <w:lang w:eastAsia="en-US"/>
              </w:rPr>
            </w:pPr>
            <w:r w:rsidRPr="0073188D">
              <w:rPr>
                <w:rFonts w:eastAsia="Calibri"/>
                <w:color w:val="000000"/>
                <w:lang w:eastAsia="bg-BG" w:bidi="bg-BG"/>
              </w:rPr>
              <w:lastRenderedPageBreak/>
              <w:t xml:space="preserve">Техническо предложение, което отговаря на предварително обявените изисквания на възложителя, съдържа задължително изискуемите елементи и в своята последователност, гарантира навременното и спрямо изискванията на техническата спецификация постигане на резултати, и </w:t>
            </w:r>
            <w:proofErr w:type="spellStart"/>
            <w:r w:rsidRPr="0073188D">
              <w:rPr>
                <w:rFonts w:eastAsia="Calibri"/>
                <w:color w:val="000000"/>
                <w:lang w:eastAsia="bg-BG" w:bidi="bg-BG"/>
              </w:rPr>
              <w:t>надгражда</w:t>
            </w:r>
            <w:proofErr w:type="spellEnd"/>
            <w:r w:rsidRPr="0073188D">
              <w:rPr>
                <w:rFonts w:eastAsia="Calibri"/>
                <w:color w:val="000000"/>
                <w:lang w:eastAsia="bg-BG" w:bidi="bg-BG"/>
              </w:rPr>
              <w:t xml:space="preserve"> минималните изисквания </w:t>
            </w:r>
            <w:r w:rsidRPr="0073188D">
              <w:rPr>
                <w:rFonts w:eastAsia="Calibri"/>
                <w:b/>
                <w:bCs/>
                <w:color w:val="000000"/>
                <w:lang w:eastAsia="bg-BG" w:bidi="bg-BG"/>
              </w:rPr>
              <w:t xml:space="preserve">КАТО спрямо него може да бъде заключено мотивирано наличието на ДВЕ от изброените по-долу условия, </w:t>
            </w:r>
            <w:proofErr w:type="spellStart"/>
            <w:r w:rsidRPr="0073188D">
              <w:rPr>
                <w:rFonts w:eastAsia="Calibri"/>
                <w:b/>
                <w:bCs/>
                <w:color w:val="000000"/>
                <w:lang w:eastAsia="bg-BG" w:bidi="bg-BG"/>
              </w:rPr>
              <w:t>надграждащи</w:t>
            </w:r>
            <w:proofErr w:type="spellEnd"/>
            <w:r w:rsidRPr="0073188D">
              <w:rPr>
                <w:rFonts w:eastAsia="Calibri"/>
                <w:b/>
                <w:bCs/>
                <w:color w:val="000000"/>
                <w:lang w:eastAsia="bg-BG" w:bidi="bg-BG"/>
              </w:rPr>
              <w:t xml:space="preserve"> техническото предложение:</w:t>
            </w:r>
          </w:p>
          <w:p w:rsidR="0073188D" w:rsidRPr="0073188D" w:rsidRDefault="0073188D" w:rsidP="0073188D">
            <w:pPr>
              <w:suppressAutoHyphens w:val="0"/>
              <w:spacing w:line="240" w:lineRule="auto"/>
              <w:jc w:val="both"/>
              <w:rPr>
                <w:rFonts w:ascii="Calibri" w:eastAsia="Calibri" w:hAnsi="Calibri"/>
                <w:lang w:eastAsia="en-US"/>
              </w:rPr>
            </w:pPr>
            <w:r w:rsidRPr="0073188D">
              <w:rPr>
                <w:rFonts w:eastAsia="Calibri"/>
                <w:i/>
                <w:iCs/>
                <w:color w:val="000000"/>
                <w:lang w:eastAsia="bg-BG" w:bidi="bg-BG"/>
              </w:rPr>
              <w:t>УСЛОВИЯ, НАДГРАЖДАЩИ ТЕХНИЧЕСКОТО ПРЕДЛОЖЕНИЕ: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1.</w:t>
            </w:r>
            <w:r w:rsidRPr="0073188D">
              <w:rPr>
                <w:color w:val="000000"/>
                <w:lang w:eastAsia="bg-BG" w:bidi="bg-BG"/>
              </w:rPr>
              <w:t xml:space="preserve"> За всяка задача са посочени ключови моменти при изпълнението, свързаните с тях изходни данни и факторите, които са съществени за навременното и качествено изпълнение на поръчката, и са дефинирани необходимите ресурси за нейното изпълнение (материали, механизация и оборудване, човешки ресурси и др.) с посочени конкретни задължения на отговорния/те ключов/и експерт/и съобразно спецификата на задачата и предложения подход за изпълнение.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2.</w:t>
            </w:r>
            <w:r w:rsidRPr="0073188D">
              <w:rPr>
                <w:color w:val="000000"/>
                <w:lang w:eastAsia="bg-BG" w:bidi="bg-BG"/>
              </w:rPr>
              <w:t xml:space="preserve"> Представена е вътрешна организация като последователност от конкретни мерки, действия и задължения на отговорните експерти, които осигуряват вътрешния контрол на участника при изпълнението на поръчката в обем, който освен да гарантира качественото, навременно изпълнение в съответствие с изискванията на приложимите към изпълнението на поръчката норми, стандарти и практики, обосновава повишаване на ефективността при изпълнението на поръчката.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suppressAutoHyphens w:val="0"/>
              <w:spacing w:line="240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t xml:space="preserve">3. </w:t>
            </w:r>
            <w:r w:rsidRPr="0073188D">
              <w:rPr>
                <w:rFonts w:eastAsia="Tahoma"/>
                <w:color w:val="000000"/>
                <w:lang w:eastAsia="bg-BG" w:bidi="bg-BG"/>
              </w:rPr>
              <w:t xml:space="preserve">Предложени са допълнителни мерки извън базово идентифицираните от възложителя като минимално необходими, касаещи социални характеристики, а именно намаляване на негативното въздействие от изпълнението върху кръга засегнати лица. </w:t>
            </w:r>
            <w:r w:rsidRPr="0073188D">
              <w:rPr>
                <w:rFonts w:eastAsia="Tahoma"/>
                <w:color w:val="000000"/>
                <w:lang w:eastAsia="bg-BG" w:bidi="bg-BG"/>
              </w:rPr>
              <w:lastRenderedPageBreak/>
              <w:t>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</w:t>
            </w:r>
            <w:r w:rsidRPr="0073188D">
              <w:rPr>
                <w:color w:val="000000"/>
                <w:lang w:eastAsia="bg-BG" w:bidi="bg-BG"/>
              </w:rPr>
              <w:t xml:space="preserve"> прилагане на действия в случаите на отклонение от изпълнението й.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618"/>
              </w:tabs>
              <w:suppressAutoHyphens w:val="0"/>
              <w:spacing w:after="200" w:line="276" w:lineRule="auto"/>
              <w:ind w:left="-12" w:firstLine="372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73188D">
              <w:rPr>
                <w:b/>
                <w:color w:val="000000"/>
                <w:lang w:eastAsia="bg-BG" w:bidi="bg-BG"/>
              </w:rPr>
              <w:t>4.</w:t>
            </w:r>
            <w:r w:rsidRPr="0073188D">
              <w:rPr>
                <w:color w:val="000000"/>
                <w:lang w:eastAsia="bg-BG" w:bidi="bg-BG"/>
              </w:rPr>
              <w:t xml:space="preserve"> Предложени са допълнителни мерки извън базово идентифицираните от възложителя като минимално необходими, касаещи екологични характеристики, а именно намаляване на негативното въздействие от изпълнението върху околната среда.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</w:t>
            </w:r>
            <w:r w:rsidRPr="0073188D">
              <w:rPr>
                <w:rFonts w:eastAsia="Tahoma"/>
                <w:color w:val="000000"/>
                <w:lang w:eastAsia="bg-BG" w:bidi="bg-BG"/>
              </w:rPr>
              <w:t>й.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88D" w:rsidRPr="0073188D" w:rsidRDefault="0073188D" w:rsidP="0073188D">
            <w:pPr>
              <w:suppressAutoHyphens w:val="0"/>
              <w:spacing w:line="240" w:lineRule="auto"/>
              <w:jc w:val="both"/>
              <w:rPr>
                <w:rFonts w:ascii="Calibri" w:eastAsia="Calibri" w:hAnsi="Calibri"/>
                <w:lang w:eastAsia="en-US"/>
              </w:rPr>
            </w:pPr>
            <w:r w:rsidRPr="0073188D">
              <w:rPr>
                <w:rFonts w:eastAsia="Calibri"/>
                <w:b/>
                <w:bCs/>
                <w:color w:val="000000"/>
                <w:lang w:eastAsia="bg-BG" w:bidi="bg-BG"/>
              </w:rPr>
              <w:lastRenderedPageBreak/>
              <w:t>40,00 точки</w:t>
            </w:r>
          </w:p>
        </w:tc>
      </w:tr>
      <w:tr w:rsidR="0073188D" w:rsidRPr="0073188D" w:rsidTr="0073188D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color w:val="000000"/>
                <w:lang w:eastAsia="bg-BG" w:bidi="bg-BG"/>
              </w:rPr>
              <w:lastRenderedPageBreak/>
              <w:t xml:space="preserve">Техническо предложение, което отговаря на предварително обявените изисквания на възложителя, съдържа задължително изискуемите елементи и в своята последователност, гарантира навременното и спрямо изискванията на техническата спецификация постигане на резултати, и </w:t>
            </w:r>
            <w:proofErr w:type="spellStart"/>
            <w:r w:rsidRPr="0073188D">
              <w:rPr>
                <w:color w:val="000000"/>
                <w:lang w:eastAsia="bg-BG" w:bidi="bg-BG"/>
              </w:rPr>
              <w:t>надгражда</w:t>
            </w:r>
            <w:proofErr w:type="spellEnd"/>
            <w:r w:rsidRPr="0073188D">
              <w:rPr>
                <w:color w:val="000000"/>
                <w:lang w:eastAsia="bg-BG" w:bidi="bg-BG"/>
              </w:rPr>
              <w:t xml:space="preserve"> минималните изисквания </w:t>
            </w:r>
            <w:r w:rsidRPr="0073188D">
              <w:rPr>
                <w:b/>
                <w:bCs/>
                <w:color w:val="000000"/>
                <w:lang w:eastAsia="bg-BG" w:bidi="bg-BG"/>
              </w:rPr>
              <w:t xml:space="preserve">КАТО спрямо него може да бъде заключено мотивирано наличието на ТРИ от изброените по-долу условия, </w:t>
            </w:r>
            <w:proofErr w:type="spellStart"/>
            <w:r w:rsidRPr="0073188D">
              <w:rPr>
                <w:b/>
                <w:bCs/>
                <w:color w:val="000000"/>
                <w:lang w:eastAsia="bg-BG" w:bidi="bg-BG"/>
              </w:rPr>
              <w:t>надграждащи</w:t>
            </w:r>
            <w:proofErr w:type="spellEnd"/>
            <w:r w:rsidRPr="0073188D">
              <w:rPr>
                <w:b/>
                <w:bCs/>
                <w:color w:val="000000"/>
                <w:lang w:eastAsia="bg-BG" w:bidi="bg-BG"/>
              </w:rPr>
              <w:t xml:space="preserve"> техническото предложение:</w:t>
            </w: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i/>
                <w:iCs/>
                <w:color w:val="000000"/>
                <w:lang w:eastAsia="bg-BG" w:bidi="bg-BG"/>
              </w:rPr>
              <w:t>УСЛОВИЯ, НАДГРАЖДАЩИ ТЕХНИЧЕСКОТО ПРЕДЛОЖЕНИЕ: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1.</w:t>
            </w:r>
            <w:r w:rsidRPr="0073188D">
              <w:rPr>
                <w:color w:val="000000"/>
                <w:lang w:eastAsia="bg-BG" w:bidi="bg-BG"/>
              </w:rPr>
              <w:t xml:space="preserve"> За всяка задача са посочени ключови моменти при изпълнението, свързаните с тях изходни данни и факторите, които са съществени за навременното и качествено изпълнение на поръчката, и са дефинирани необходимите ресурси за нейното изпълнение (материали, механизация и оборудване, човешки ресурси и др.) с посочени конкретни задължения на отговорния/те ключов/и експерт/и съобразно спецификата на задачата и предложения подход за изпълнение.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2.</w:t>
            </w:r>
            <w:r w:rsidRPr="0073188D">
              <w:rPr>
                <w:color w:val="000000"/>
                <w:lang w:eastAsia="bg-BG" w:bidi="bg-BG"/>
              </w:rPr>
              <w:t xml:space="preserve"> Представена е вътрешна организация като последователност от конкретни мерки, действия и задължения на отговорните експерти, които осигуряват вътрешния контрол на участника при изпълнението на поръчката в обем, който освен да гарантира качественото, </w:t>
            </w:r>
            <w:r w:rsidRPr="0073188D">
              <w:rPr>
                <w:color w:val="000000"/>
                <w:lang w:eastAsia="bg-BG" w:bidi="bg-BG"/>
              </w:rPr>
              <w:lastRenderedPageBreak/>
              <w:t>навременно изпълнение в съответствие с изискванията на приложимите към изпълнението на поръчката норми, стандарти и практики, обосновава повишаване на ефективността при изпълнението на поръчката.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suppressAutoHyphens w:val="0"/>
              <w:spacing w:line="240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t xml:space="preserve">3. </w:t>
            </w:r>
            <w:r w:rsidRPr="0073188D">
              <w:rPr>
                <w:rFonts w:eastAsia="Tahoma"/>
                <w:color w:val="000000"/>
                <w:lang w:eastAsia="bg-BG" w:bidi="bg-BG"/>
              </w:rPr>
              <w:t>Предложени са допълнителни мерки извън базово идентифицираните от възложителя като минимално необходими, касаещи социални характеристики, а именно намаляване на негативното въздействие от изпълнението върху кръга засегнати лица.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</w:t>
            </w:r>
            <w:r w:rsidRPr="0073188D">
              <w:rPr>
                <w:color w:val="000000"/>
                <w:lang w:eastAsia="bg-BG" w:bidi="bg-BG"/>
              </w:rPr>
              <w:t xml:space="preserve"> прилагане на действия в случаите на отклонение от изпълнението й.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suppressAutoHyphens w:val="0"/>
              <w:spacing w:before="120" w:after="120" w:line="276" w:lineRule="auto"/>
              <w:ind w:left="-12" w:firstLine="372"/>
              <w:contextualSpacing/>
              <w:jc w:val="both"/>
              <w:rPr>
                <w:b/>
                <w:i/>
                <w:lang w:eastAsia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4.</w:t>
            </w:r>
            <w:r w:rsidRPr="0073188D">
              <w:rPr>
                <w:color w:val="000000"/>
                <w:lang w:eastAsia="bg-BG" w:bidi="bg-BG"/>
              </w:rPr>
              <w:t xml:space="preserve"> Предложени са допълнителни мерки извън базово идентифицираните от възложителя като минимално необходими, касаещи екологични характеристики, а именно намаляване на негативното въздействие от изпълнението върху околната среда.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</w:t>
            </w:r>
            <w:r w:rsidRPr="0073188D">
              <w:rPr>
                <w:rFonts w:eastAsia="Tahoma"/>
                <w:color w:val="000000"/>
                <w:lang w:eastAsia="bg-BG" w:bidi="bg-BG"/>
              </w:rPr>
              <w:t>й.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lastRenderedPageBreak/>
              <w:t>45,00 точки</w:t>
            </w: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</w:tc>
      </w:tr>
      <w:tr w:rsidR="0073188D" w:rsidRPr="0073188D" w:rsidTr="0073188D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color w:val="000000"/>
                <w:lang w:eastAsia="bg-BG" w:bidi="bg-BG"/>
              </w:rPr>
              <w:lastRenderedPageBreak/>
              <w:t xml:space="preserve">Техническо предложение, което отговаря на предварително обявените изисквания на възложителя, съдържа задължително изискуемите елементи и в своята последователност, гарантира навременното и спрямо изискванията на техническата спецификация постигане на резултати, и </w:t>
            </w:r>
            <w:proofErr w:type="spellStart"/>
            <w:r w:rsidRPr="0073188D">
              <w:rPr>
                <w:color w:val="000000"/>
                <w:lang w:eastAsia="bg-BG" w:bidi="bg-BG"/>
              </w:rPr>
              <w:t>надгражда</w:t>
            </w:r>
            <w:proofErr w:type="spellEnd"/>
            <w:r w:rsidRPr="0073188D">
              <w:rPr>
                <w:color w:val="000000"/>
                <w:lang w:eastAsia="bg-BG" w:bidi="bg-BG"/>
              </w:rPr>
              <w:t xml:space="preserve"> минималните изисквания </w:t>
            </w:r>
            <w:r w:rsidRPr="0073188D">
              <w:rPr>
                <w:b/>
                <w:bCs/>
                <w:color w:val="000000"/>
                <w:lang w:eastAsia="bg-BG" w:bidi="bg-BG"/>
              </w:rPr>
              <w:t xml:space="preserve">КАТО спрямо него може да бъде заключено мотивирано наличието на ЧЕТИРИ от изброените по-долу условия, </w:t>
            </w:r>
            <w:proofErr w:type="spellStart"/>
            <w:r w:rsidRPr="0073188D">
              <w:rPr>
                <w:b/>
                <w:bCs/>
                <w:color w:val="000000"/>
                <w:lang w:eastAsia="bg-BG" w:bidi="bg-BG"/>
              </w:rPr>
              <w:t>надграждащи</w:t>
            </w:r>
            <w:proofErr w:type="spellEnd"/>
            <w:r w:rsidRPr="0073188D">
              <w:rPr>
                <w:b/>
                <w:bCs/>
                <w:color w:val="000000"/>
                <w:lang w:eastAsia="bg-BG" w:bidi="bg-BG"/>
              </w:rPr>
              <w:t xml:space="preserve"> техническото предложение:</w:t>
            </w: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i/>
                <w:iCs/>
                <w:color w:val="000000"/>
                <w:lang w:eastAsia="bg-BG" w:bidi="bg-BG"/>
              </w:rPr>
              <w:t>УСЛОВИЯ, НАДГРАЖДАЩИ ТЕХНИЧЕСКОТО ПРЕДЛОЖЕНИЕ: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1.</w:t>
            </w:r>
            <w:r w:rsidRPr="0073188D">
              <w:rPr>
                <w:color w:val="000000"/>
                <w:lang w:eastAsia="bg-BG" w:bidi="bg-BG"/>
              </w:rPr>
              <w:t xml:space="preserve"> За всяка задача са посочени ключови моменти при изпълнението, свързаните с тях изходни данни и факторите, които са съществени за навременното и качествено изпълнение на поръчката, и са дефинирани необходимите ресурси за нейното изпълнение (материали, механизация и оборудване, човешки ресурси и др.) с </w:t>
            </w:r>
            <w:r w:rsidRPr="0073188D">
              <w:rPr>
                <w:color w:val="000000"/>
                <w:lang w:eastAsia="bg-BG" w:bidi="bg-BG"/>
              </w:rPr>
              <w:lastRenderedPageBreak/>
              <w:t>посочени конкретни задължения на отговорния/те ключов/и експерт/и съобразно спецификата на задачата и предложения подход за изпълнение.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2.</w:t>
            </w:r>
            <w:r w:rsidRPr="0073188D">
              <w:rPr>
                <w:color w:val="000000"/>
                <w:lang w:eastAsia="bg-BG" w:bidi="bg-BG"/>
              </w:rPr>
              <w:t xml:space="preserve"> Представена е вътрешна организация като последователност от конкретни мерки, действия и задължения на отговорните експерти, които осигуряват вътрешния контрол на участника при изпълнението на поръчката в обем, който освен да гарантира качественото, навременно изпълнение в съответствие с изискванията на приложимите към изпълнението на поръчката норми, стандарти и практики, обосновава повишаване на ефективността при изпълнението на поръчката.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suppressAutoHyphens w:val="0"/>
              <w:spacing w:line="240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t xml:space="preserve">3. </w:t>
            </w:r>
            <w:r w:rsidRPr="0073188D">
              <w:rPr>
                <w:rFonts w:eastAsia="Tahoma"/>
                <w:color w:val="000000"/>
                <w:lang w:eastAsia="bg-BG" w:bidi="bg-BG"/>
              </w:rPr>
              <w:t>Предложени са допълнителни мерки извън базово идентифицираните от възложителя като минимално необходими, касаещи социални характеристики, а именно намаляване на негативното въздействие от изпълнението върху кръга засегнати лица.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</w:t>
            </w:r>
            <w:r w:rsidRPr="0073188D">
              <w:rPr>
                <w:color w:val="000000"/>
                <w:lang w:eastAsia="bg-BG" w:bidi="bg-BG"/>
              </w:rPr>
              <w:t xml:space="preserve"> прилагане на действия в случаите на отклонение от изпълнението й.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suppressAutoHyphens w:val="0"/>
              <w:spacing w:before="120" w:after="120" w:line="276" w:lineRule="auto"/>
              <w:ind w:left="0" w:firstLine="360"/>
              <w:contextualSpacing/>
              <w:jc w:val="both"/>
              <w:rPr>
                <w:lang w:eastAsia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4.</w:t>
            </w:r>
            <w:r w:rsidRPr="0073188D">
              <w:rPr>
                <w:color w:val="000000"/>
                <w:lang w:eastAsia="bg-BG" w:bidi="bg-BG"/>
              </w:rPr>
              <w:t xml:space="preserve"> Предложени са допълнителни мерки извън базово идентифицираните от възложителя като минимално необходими, касаещи екологични характеристики, а именно намаляване на негативното въздействие от изпълнението върху околната среда.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</w:t>
            </w:r>
            <w:r w:rsidRPr="0073188D">
              <w:rPr>
                <w:rFonts w:eastAsia="Tahoma"/>
                <w:color w:val="000000"/>
                <w:lang w:eastAsia="bg-BG" w:bidi="bg-BG"/>
              </w:rPr>
              <w:t>й.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lastRenderedPageBreak/>
              <w:t>50,00 точки</w:t>
            </w: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</w:tc>
      </w:tr>
    </w:tbl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567"/>
        <w:jc w:val="both"/>
        <w:rPr>
          <w:lang w:eastAsia="bg-BG" w:bidi="bg-BG"/>
        </w:rPr>
      </w:pPr>
      <w:r w:rsidRPr="0073188D">
        <w:rPr>
          <w:b/>
          <w:color w:val="000000"/>
          <w:lang w:eastAsia="bg-BG" w:bidi="bg-BG"/>
        </w:rPr>
        <w:t>ВАЖНО!</w:t>
      </w:r>
      <w:r w:rsidRPr="0073188D">
        <w:rPr>
          <w:color w:val="000000"/>
          <w:lang w:eastAsia="bg-BG" w:bidi="bg-BG"/>
        </w:rPr>
        <w:t xml:space="preserve"> Ще се счита, че всяко от изброените по-горе условия не е налице и същото няма да бъде отчетено като </w:t>
      </w:r>
      <w:proofErr w:type="spellStart"/>
      <w:r w:rsidRPr="0073188D">
        <w:rPr>
          <w:color w:val="000000"/>
          <w:lang w:eastAsia="bg-BG" w:bidi="bg-BG"/>
        </w:rPr>
        <w:t>надграждащо</w:t>
      </w:r>
      <w:proofErr w:type="spellEnd"/>
      <w:r w:rsidRPr="0073188D">
        <w:rPr>
          <w:color w:val="000000"/>
          <w:lang w:eastAsia="bg-BG" w:bidi="bg-BG"/>
        </w:rPr>
        <w:t xml:space="preserve"> конкретното предложение за изпълнение на поръката за оферти в които по отношение на което и да е от описаните „Условия, </w:t>
      </w:r>
      <w:proofErr w:type="spellStart"/>
      <w:r w:rsidRPr="0073188D">
        <w:rPr>
          <w:color w:val="000000"/>
          <w:lang w:eastAsia="bg-BG" w:bidi="bg-BG"/>
        </w:rPr>
        <w:t>надграждащи</w:t>
      </w:r>
      <w:proofErr w:type="spellEnd"/>
      <w:r w:rsidRPr="0073188D">
        <w:rPr>
          <w:color w:val="000000"/>
          <w:lang w:eastAsia="bg-BG" w:bidi="bg-BG"/>
        </w:rPr>
        <w:t xml:space="preserve"> техническото </w:t>
      </w:r>
      <w:r w:rsidRPr="0073188D">
        <w:rPr>
          <w:lang w:eastAsia="bg-BG" w:bidi="bg-BG"/>
        </w:rPr>
        <w:t>предложение“ е констатирано наличие на външни признаци за спазването им, но същите не отговарят на условията за надграждане на предложението, тъй като е спазена само формата, но тя не допринася за качеството на изпълнението.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color w:val="000000"/>
          <w:lang w:eastAsia="bg-BG" w:bidi="bg-BG"/>
        </w:rPr>
      </w:pPr>
      <w:r w:rsidRPr="0073188D">
        <w:rPr>
          <w:lang w:eastAsia="bg-BG" w:bidi="bg-BG"/>
        </w:rPr>
        <w:lastRenderedPageBreak/>
        <w:t xml:space="preserve">Условието не е налице и </w:t>
      </w:r>
      <w:r w:rsidRPr="0073188D">
        <w:rPr>
          <w:color w:val="000000"/>
          <w:lang w:eastAsia="bg-BG" w:bidi="bg-BG"/>
        </w:rPr>
        <w:t xml:space="preserve">същото няма да бъде отчетено като </w:t>
      </w:r>
      <w:proofErr w:type="spellStart"/>
      <w:r w:rsidRPr="0073188D">
        <w:rPr>
          <w:color w:val="000000"/>
          <w:lang w:eastAsia="bg-BG" w:bidi="bg-BG"/>
        </w:rPr>
        <w:t>надграждащо</w:t>
      </w:r>
      <w:proofErr w:type="spellEnd"/>
      <w:r w:rsidRPr="0073188D">
        <w:rPr>
          <w:color w:val="000000"/>
          <w:lang w:eastAsia="bg-BG" w:bidi="bg-BG"/>
        </w:rPr>
        <w:t xml:space="preserve"> конкретното предложение за изпълнение на поръчката и в случай, когато по отношение на конкретно условие бъдат открити такива пропуски и/или несъответствия, които от една страна не могат да повлияят на изпълнението на поръчката, с оглед спазване на правилната технологична последователност и минималните изисквания на възложителя, но от друга страна, наличието на пропуски и/или несъответствия, в конкретното условие, не позволява на същото да допринесе за повишаване качеството на изпълнението.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567"/>
        <w:jc w:val="both"/>
        <w:rPr>
          <w:color w:val="000000"/>
          <w:lang w:eastAsia="bg-BG" w:bidi="bg-BG"/>
        </w:rPr>
      </w:pPr>
      <w:r w:rsidRPr="0073188D">
        <w:rPr>
          <w:b/>
          <w:color w:val="000000"/>
          <w:lang w:eastAsia="bg-BG" w:bidi="bg-BG"/>
        </w:rPr>
        <w:t>ВАЖНО!</w:t>
      </w:r>
      <w:r w:rsidRPr="0073188D">
        <w:rPr>
          <w:color w:val="000000"/>
          <w:lang w:eastAsia="bg-BG" w:bidi="bg-BG"/>
        </w:rPr>
        <w:t xml:space="preserve"> Достатъчно е наличието на една от </w:t>
      </w:r>
      <w:proofErr w:type="spellStart"/>
      <w:r w:rsidRPr="0073188D">
        <w:rPr>
          <w:color w:val="000000"/>
          <w:lang w:eastAsia="bg-BG" w:bidi="bg-BG"/>
        </w:rPr>
        <w:t>горецитираните</w:t>
      </w:r>
      <w:proofErr w:type="spellEnd"/>
      <w:r w:rsidRPr="0073188D">
        <w:rPr>
          <w:color w:val="000000"/>
          <w:lang w:eastAsia="bg-BG" w:bidi="bg-BG"/>
        </w:rPr>
        <w:t xml:space="preserve"> хипотези, за да не бъде отчетено условието като </w:t>
      </w:r>
      <w:proofErr w:type="spellStart"/>
      <w:r w:rsidRPr="0073188D">
        <w:rPr>
          <w:color w:val="000000"/>
          <w:lang w:eastAsia="bg-BG" w:bidi="bg-BG"/>
        </w:rPr>
        <w:t>надграждащо</w:t>
      </w:r>
      <w:proofErr w:type="spellEnd"/>
      <w:r w:rsidRPr="0073188D">
        <w:rPr>
          <w:color w:val="000000"/>
          <w:lang w:eastAsia="bg-BG" w:bidi="bg-BG"/>
        </w:rPr>
        <w:t xml:space="preserve"> техническото предложение.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2. Показател П2 „ЦЕНОВО ПРЕДЛОЖЕНИЕ (</w:t>
      </w:r>
      <w:proofErr w:type="spellStart"/>
      <w:r w:rsidRPr="0073188D">
        <w:rPr>
          <w:b/>
          <w:bCs/>
          <w:color w:val="000000"/>
          <w:lang w:eastAsia="bg-BG" w:bidi="bg-BG"/>
        </w:rPr>
        <w:t>Цп</w:t>
      </w:r>
      <w:proofErr w:type="spellEnd"/>
      <w:r w:rsidRPr="0073188D">
        <w:rPr>
          <w:b/>
          <w:bCs/>
          <w:color w:val="000000"/>
          <w:lang w:eastAsia="bg-BG" w:bidi="bg-BG"/>
        </w:rPr>
        <w:t>)</w:t>
      </w:r>
    </w:p>
    <w:p w:rsidR="0073188D" w:rsidRPr="0073188D" w:rsidRDefault="0073188D" w:rsidP="0073188D">
      <w:pPr>
        <w:widowControl w:val="0"/>
        <w:suppressAutoHyphens w:val="0"/>
        <w:spacing w:before="240" w:line="240" w:lineRule="auto"/>
        <w:ind w:firstLine="567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>До оценка по този показател се допускат само оферти, които съответстват на условията за изпълнение на обществената поръчка. Максимален брой точки по показателя - 50 точки. Оценките на офертите по показателя се изчисляват по формулата: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tabs>
          <w:tab w:val="left" w:leader="dot" w:pos="3160"/>
        </w:tabs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proofErr w:type="spellStart"/>
      <w:r w:rsidRPr="0073188D">
        <w:rPr>
          <w:b/>
          <w:bCs/>
          <w:color w:val="000000"/>
          <w:lang w:eastAsia="bg-BG" w:bidi="bg-BG"/>
        </w:rPr>
        <w:t>Цп</w:t>
      </w:r>
      <w:proofErr w:type="spellEnd"/>
      <w:r w:rsidRPr="0073188D">
        <w:rPr>
          <w:b/>
          <w:bCs/>
          <w:color w:val="000000"/>
          <w:lang w:eastAsia="bg-BG" w:bidi="bg-BG"/>
        </w:rPr>
        <w:t xml:space="preserve"> = (</w:t>
      </w:r>
      <w:proofErr w:type="spellStart"/>
      <w:r w:rsidRPr="0073188D">
        <w:rPr>
          <w:b/>
          <w:bCs/>
          <w:color w:val="000000"/>
          <w:lang w:eastAsia="bg-BG" w:bidi="bg-BG"/>
        </w:rPr>
        <w:t>Цmin</w:t>
      </w:r>
      <w:proofErr w:type="spellEnd"/>
      <w:r w:rsidRPr="0073188D">
        <w:rPr>
          <w:b/>
          <w:bCs/>
          <w:color w:val="000000"/>
          <w:lang w:eastAsia="bg-BG" w:bidi="bg-BG"/>
        </w:rPr>
        <w:t xml:space="preserve"> / </w:t>
      </w:r>
      <w:proofErr w:type="spellStart"/>
      <w:r w:rsidRPr="0073188D">
        <w:rPr>
          <w:b/>
          <w:bCs/>
          <w:color w:val="000000"/>
          <w:lang w:eastAsia="bg-BG" w:bidi="bg-BG"/>
        </w:rPr>
        <w:t>Цi</w:t>
      </w:r>
      <w:proofErr w:type="spellEnd"/>
      <w:r w:rsidR="007B2C1F">
        <w:rPr>
          <w:b/>
          <w:bCs/>
          <w:color w:val="000000"/>
          <w:lang w:eastAsia="bg-BG" w:bidi="bg-BG"/>
        </w:rPr>
        <w:t>)</w:t>
      </w:r>
      <w:r w:rsidRPr="0073188D">
        <w:rPr>
          <w:b/>
          <w:bCs/>
          <w:color w:val="000000"/>
          <w:lang w:eastAsia="bg-BG" w:bidi="bg-BG"/>
        </w:rPr>
        <w:t xml:space="preserve"> х 50 =</w:t>
      </w:r>
      <w:r w:rsidRPr="0073188D">
        <w:rPr>
          <w:b/>
          <w:bCs/>
          <w:color w:val="000000"/>
          <w:lang w:eastAsia="bg-BG" w:bidi="bg-BG"/>
        </w:rPr>
        <w:tab/>
        <w:t>(брой точки), където</w:t>
      </w:r>
    </w:p>
    <w:p w:rsidR="0073188D" w:rsidRPr="0073188D" w:rsidRDefault="0073188D" w:rsidP="0073188D">
      <w:pPr>
        <w:widowControl w:val="0"/>
        <w:tabs>
          <w:tab w:val="left" w:leader="dot" w:pos="3160"/>
        </w:tabs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  <w:proofErr w:type="spellStart"/>
      <w:r w:rsidRPr="0073188D">
        <w:rPr>
          <w:b/>
          <w:color w:val="000000"/>
          <w:lang w:eastAsia="bg-BG" w:bidi="bg-BG"/>
        </w:rPr>
        <w:t>Цi</w:t>
      </w:r>
      <w:proofErr w:type="spellEnd"/>
      <w:r w:rsidRPr="0073188D">
        <w:rPr>
          <w:color w:val="000000"/>
          <w:lang w:eastAsia="bg-BG" w:bidi="bg-BG"/>
        </w:rPr>
        <w:t xml:space="preserve"> е предложената обща цена, в лева без ДДС</w:t>
      </w:r>
      <w:r w:rsidR="0099799C">
        <w:rPr>
          <w:color w:val="000000"/>
          <w:lang w:eastAsia="bg-BG" w:bidi="bg-BG"/>
        </w:rPr>
        <w:t>,</w:t>
      </w:r>
      <w:r w:rsidRPr="0073188D">
        <w:rPr>
          <w:color w:val="000000"/>
          <w:lang w:eastAsia="bg-BG" w:bidi="bg-BG"/>
        </w:rPr>
        <w:t xml:space="preserve"> съгласно Ценовото предложение на съответния участник.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  <w:proofErr w:type="spellStart"/>
      <w:r w:rsidRPr="0073188D">
        <w:rPr>
          <w:b/>
          <w:color w:val="000000"/>
          <w:lang w:eastAsia="bg-BG" w:bidi="bg-BG"/>
        </w:rPr>
        <w:t>Цmin</w:t>
      </w:r>
      <w:proofErr w:type="spellEnd"/>
      <w:r w:rsidRPr="0073188D">
        <w:rPr>
          <w:color w:val="000000"/>
          <w:lang w:eastAsia="bg-BG" w:bidi="bg-BG"/>
        </w:rPr>
        <w:t xml:space="preserve"> е минималната предложена обща цена, в лева без ДДС</w:t>
      </w:r>
      <w:r w:rsidR="00337433">
        <w:rPr>
          <w:color w:val="000000"/>
          <w:lang w:val="en-US" w:eastAsia="bg-BG" w:bidi="bg-BG"/>
        </w:rPr>
        <w:t>,</w:t>
      </w:r>
      <w:r w:rsidRPr="0073188D">
        <w:rPr>
          <w:color w:val="000000"/>
          <w:lang w:eastAsia="bg-BG" w:bidi="bg-BG"/>
        </w:rPr>
        <w:t xml:space="preserve"> съгласно Ценовите предложения на допуснатите участници.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  <w:proofErr w:type="spellStart"/>
      <w:r w:rsidRPr="0073188D">
        <w:rPr>
          <w:b/>
          <w:color w:val="000000"/>
          <w:lang w:eastAsia="bg-BG" w:bidi="bg-BG"/>
        </w:rPr>
        <w:t>Цп</w:t>
      </w:r>
      <w:proofErr w:type="spellEnd"/>
      <w:r w:rsidRPr="0073188D">
        <w:rPr>
          <w:color w:val="000000"/>
          <w:lang w:eastAsia="bg-BG" w:bidi="bg-BG"/>
        </w:rPr>
        <w:t xml:space="preserve"> е оценката по показателя.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  <w:r w:rsidRPr="0073188D">
        <w:rPr>
          <w:b/>
          <w:i/>
          <w:iCs/>
          <w:color w:val="000000"/>
          <w:lang w:eastAsia="bg-BG" w:bidi="bg-BG"/>
        </w:rPr>
        <w:t>Уточнение:</w:t>
      </w:r>
      <w:r w:rsidRPr="0073188D">
        <w:rPr>
          <w:color w:val="000000"/>
          <w:lang w:eastAsia="bg-BG" w:bidi="bg-BG"/>
        </w:rPr>
        <w:t xml:space="preserve"> Комисията изчислява точките с точност до втория знак след десетичната запетая.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i/>
          <w:iCs/>
          <w:color w:val="000000"/>
          <w:lang w:eastAsia="bg-BG" w:bidi="bg-BG"/>
        </w:rPr>
      </w:pPr>
      <w:r w:rsidRPr="0073188D">
        <w:rPr>
          <w:b/>
          <w:i/>
          <w:iCs/>
          <w:color w:val="000000"/>
          <w:lang w:eastAsia="bg-BG" w:bidi="bg-BG"/>
        </w:rPr>
        <w:t>!!! В случай че комплексните оценки на две или повече оферти са равни, за определяне на изпълнител между класираните на първо място оферти се прилагат разпоредбите на чл.58, ал.2 и 3 от ППЗОП.</w:t>
      </w:r>
    </w:p>
    <w:p w:rsidR="0073188D" w:rsidRPr="0073188D" w:rsidRDefault="0073188D" w:rsidP="0073188D">
      <w:pPr>
        <w:spacing w:line="276" w:lineRule="auto"/>
        <w:ind w:right="120" w:firstLine="567"/>
        <w:jc w:val="both"/>
        <w:rPr>
          <w:b/>
          <w:bCs/>
          <w:lang w:eastAsia="bg-BG"/>
        </w:rPr>
      </w:pPr>
    </w:p>
    <w:p w:rsidR="0073188D" w:rsidRPr="0073188D" w:rsidRDefault="0073188D" w:rsidP="0073188D">
      <w:pPr>
        <w:spacing w:line="276" w:lineRule="auto"/>
        <w:ind w:right="120" w:firstLine="567"/>
        <w:jc w:val="both"/>
        <w:rPr>
          <w:lang w:eastAsia="bg-BG"/>
        </w:rPr>
      </w:pPr>
      <w:r w:rsidRPr="0073188D">
        <w:rPr>
          <w:b/>
          <w:bCs/>
          <w:lang w:eastAsia="bg-BG"/>
        </w:rPr>
        <w:t>Мотиви на възложителя за избор на подход при съставяне на настоящата методика.</w:t>
      </w:r>
    </w:p>
    <w:p w:rsidR="0073188D" w:rsidRPr="0073188D" w:rsidRDefault="0073188D" w:rsidP="0073188D">
      <w:pPr>
        <w:spacing w:after="180" w:line="276" w:lineRule="auto"/>
        <w:ind w:right="20" w:firstLine="567"/>
        <w:jc w:val="both"/>
        <w:rPr>
          <w:lang w:eastAsia="bg-BG"/>
        </w:rPr>
      </w:pPr>
      <w:r w:rsidRPr="0073188D">
        <w:rPr>
          <w:lang w:eastAsia="bg-BG"/>
        </w:rPr>
        <w:t>Методиката е съставена при използването на критерия „Оптимално съотношение качество/цена“. Цената се определя по математическа формула по реда на чл.70, ал.7, б. „а“ от ЗОП. Подходът при оценяване на качеството е базиран на определяне по реда на чл.70, ал.7, б. „б“, чрез експертна оценка.</w:t>
      </w:r>
    </w:p>
    <w:p w:rsidR="0073188D" w:rsidRPr="0073188D" w:rsidRDefault="0073188D" w:rsidP="0073188D">
      <w:pPr>
        <w:spacing w:after="180" w:line="276" w:lineRule="auto"/>
        <w:ind w:right="20" w:firstLine="567"/>
        <w:jc w:val="both"/>
        <w:rPr>
          <w:lang w:eastAsia="bg-BG"/>
        </w:rPr>
      </w:pPr>
      <w:r w:rsidRPr="0073188D">
        <w:rPr>
          <w:lang w:eastAsia="bg-BG"/>
        </w:rPr>
        <w:t xml:space="preserve"> При определяне на стойностите чрез експертна оценка е взето под внимание следното:</w:t>
      </w:r>
    </w:p>
    <w:p w:rsidR="0073188D" w:rsidRPr="0073188D" w:rsidRDefault="0073188D" w:rsidP="0073188D">
      <w:pPr>
        <w:spacing w:after="180" w:line="276" w:lineRule="auto"/>
        <w:ind w:right="20" w:firstLine="567"/>
        <w:jc w:val="both"/>
        <w:rPr>
          <w:lang w:eastAsia="bg-BG"/>
        </w:rPr>
      </w:pPr>
      <w:r w:rsidRPr="0073188D">
        <w:rPr>
          <w:lang w:eastAsia="bg-BG"/>
        </w:rPr>
        <w:t>На първо място, в настоящата методика не е предвидено да се оценява пълнотата и начинът на представяне на информацията, като по този начин е спазена забраната на чл.33 от ППЗОП.</w:t>
      </w:r>
    </w:p>
    <w:p w:rsidR="0073188D" w:rsidRPr="0073188D" w:rsidRDefault="0073188D" w:rsidP="0073188D">
      <w:pPr>
        <w:spacing w:after="180" w:line="276" w:lineRule="auto"/>
        <w:ind w:right="20" w:firstLine="567"/>
        <w:jc w:val="both"/>
        <w:rPr>
          <w:lang w:eastAsia="bg-BG"/>
        </w:rPr>
      </w:pPr>
      <w:r w:rsidRPr="0073188D">
        <w:rPr>
          <w:lang w:eastAsia="bg-BG"/>
        </w:rPr>
        <w:t>На второ място, начинът на оценяване по настоящата методика дава възможност да бъдат сравнени и оценени</w:t>
      </w:r>
      <w:r w:rsidRPr="0073188D">
        <w:rPr>
          <w:b/>
          <w:bCs/>
          <w:i/>
          <w:iCs/>
          <w:lang w:eastAsia="bg-BG"/>
        </w:rPr>
        <w:t xml:space="preserve"> обективно</w:t>
      </w:r>
      <w:r w:rsidRPr="0073188D">
        <w:rPr>
          <w:lang w:eastAsia="bg-BG"/>
        </w:rPr>
        <w:t xml:space="preserve"> техническите предложения на участниците, тъй като </w:t>
      </w:r>
      <w:r w:rsidRPr="0073188D">
        <w:rPr>
          <w:lang w:eastAsia="bg-BG"/>
        </w:rPr>
        <w:lastRenderedPageBreak/>
        <w:t>дефинираното надграждане става</w:t>
      </w:r>
      <w:r w:rsidRPr="0073188D">
        <w:rPr>
          <w:b/>
          <w:bCs/>
          <w:i/>
          <w:iCs/>
          <w:lang w:eastAsia="bg-BG"/>
        </w:rPr>
        <w:t xml:space="preserve"> не на субективен, а на обективен принцип</w:t>
      </w:r>
      <w:r w:rsidRPr="0073188D">
        <w:rPr>
          <w:lang w:eastAsia="bg-BG"/>
        </w:rPr>
        <w:t>. По този начин е спазено изискването на чл.70, ал.7, т.2 от ЗОП.</w:t>
      </w:r>
    </w:p>
    <w:p w:rsidR="0073188D" w:rsidRPr="0073188D" w:rsidRDefault="0073188D" w:rsidP="0073188D">
      <w:pPr>
        <w:spacing w:after="180" w:line="276" w:lineRule="auto"/>
        <w:ind w:right="20" w:firstLine="567"/>
        <w:jc w:val="both"/>
        <w:rPr>
          <w:lang w:eastAsia="bg-BG"/>
        </w:rPr>
      </w:pPr>
      <w:r w:rsidRPr="0073188D">
        <w:rPr>
          <w:lang w:eastAsia="bg-BG"/>
        </w:rPr>
        <w:t xml:space="preserve">На трето място, методиката дава пълна яснота на участниците за правилата, по които ще се дават оценки по техническия показател. </w:t>
      </w:r>
    </w:p>
    <w:p w:rsidR="0073188D" w:rsidRPr="0073188D" w:rsidRDefault="0073188D" w:rsidP="0073188D">
      <w:pPr>
        <w:spacing w:after="180" w:line="276" w:lineRule="auto"/>
        <w:ind w:right="20" w:firstLine="567"/>
        <w:jc w:val="both"/>
        <w:rPr>
          <w:lang w:eastAsia="bg-BG"/>
        </w:rPr>
      </w:pPr>
      <w:r w:rsidRPr="0073188D">
        <w:rPr>
          <w:lang w:eastAsia="bg-BG"/>
        </w:rPr>
        <w:t>И не на последно място, методиката е построена като правила по начин, по който няма неизвестност за участниците какво следва да предлагат, за да бъдат оценени с конкретния брой точки. Няма използвани термини като „подробно“ или „точно“, каращи участниците да тълкуват или гадаят волята на възложителя. Изискваните от участниците предложения, които ще вземат участие в методиката са точно рамкирани и дефинирани.</w:t>
      </w:r>
    </w:p>
    <w:p w:rsidR="0073188D" w:rsidRPr="0073188D" w:rsidRDefault="0073188D" w:rsidP="0073188D">
      <w:pPr>
        <w:spacing w:line="276" w:lineRule="auto"/>
        <w:ind w:right="20" w:firstLine="567"/>
        <w:jc w:val="both"/>
        <w:rPr>
          <w:b/>
          <w:lang w:eastAsia="bg-BG"/>
        </w:rPr>
      </w:pPr>
      <w:r w:rsidRPr="0073188D">
        <w:rPr>
          <w:lang w:eastAsia="bg-BG"/>
        </w:rPr>
        <w:t>Гореизложеното дава предварителна пълна яснота на участниците относно правилата на оценяване, които ще се прилагат, с което е спазена и нормата на</w:t>
      </w:r>
      <w:r w:rsidRPr="0073188D">
        <w:rPr>
          <w:b/>
          <w:bCs/>
          <w:i/>
          <w:iCs/>
          <w:lang w:eastAsia="bg-BG"/>
        </w:rPr>
        <w:t xml:space="preserve"> чл.70, ал.7, т.3,</w:t>
      </w:r>
      <w:r w:rsidRPr="0073188D">
        <w:rPr>
          <w:b/>
          <w:lang w:eastAsia="bg-BG"/>
        </w:rPr>
        <w:t xml:space="preserve"> б. „б“</w:t>
      </w:r>
      <w:r w:rsidRPr="0073188D">
        <w:rPr>
          <w:b/>
          <w:bCs/>
          <w:i/>
          <w:iCs/>
          <w:lang w:eastAsia="bg-BG"/>
        </w:rPr>
        <w:t xml:space="preserve"> от ЗОП.</w:t>
      </w:r>
      <w:r w:rsidRPr="0073188D">
        <w:rPr>
          <w:lang w:eastAsia="bg-BG"/>
        </w:rPr>
        <w:t xml:space="preserve"> Дефинирайки и спазвайки настоящите правила, възложителят спазва и разпоредбата на</w:t>
      </w:r>
      <w:r w:rsidRPr="0073188D">
        <w:rPr>
          <w:b/>
          <w:bCs/>
          <w:i/>
          <w:iCs/>
          <w:lang w:eastAsia="bg-BG"/>
        </w:rPr>
        <w:t xml:space="preserve"> чл.70, ал.7, т.1 от ЗОП,</w:t>
      </w:r>
      <w:r w:rsidRPr="0073188D">
        <w:rPr>
          <w:lang w:eastAsia="bg-BG"/>
        </w:rPr>
        <w:t xml:space="preserve"> според която начинът на определяне на оценката по тази показател трябва да дава възможност да се оцени нивото на изпълнение, предложено във всяко оферта, в съответствие с предмета на поръчката и техническите спецификации.</w:t>
      </w:r>
    </w:p>
    <w:p w:rsidR="0073188D" w:rsidRPr="0073188D" w:rsidRDefault="0073188D" w:rsidP="0073188D">
      <w:pPr>
        <w:keepNext/>
        <w:spacing w:line="276" w:lineRule="auto"/>
        <w:ind w:firstLine="567"/>
        <w:jc w:val="both"/>
        <w:rPr>
          <w:rFonts w:eastAsia="Arial Unicode MS"/>
          <w:b/>
          <w:bCs/>
        </w:rPr>
      </w:pPr>
      <w:r w:rsidRPr="0073188D">
        <w:rPr>
          <w:rFonts w:eastAsia="Arial Unicode MS"/>
          <w:b/>
          <w:bCs/>
        </w:rPr>
        <w:t>Допълнителни пояснения</w:t>
      </w:r>
    </w:p>
    <w:p w:rsidR="0073188D" w:rsidRPr="0073188D" w:rsidRDefault="0073188D" w:rsidP="0073188D">
      <w:pPr>
        <w:keepNext/>
        <w:spacing w:line="276" w:lineRule="auto"/>
        <w:ind w:firstLine="567"/>
        <w:jc w:val="both"/>
        <w:rPr>
          <w:rFonts w:eastAsia="Arial Unicode MS"/>
          <w:bCs/>
        </w:rPr>
      </w:pPr>
      <w:r w:rsidRPr="0073188D">
        <w:rPr>
          <w:rFonts w:eastAsia="Arial Unicode MS"/>
          <w:bCs/>
        </w:rPr>
        <w:t>Всички използвани думи или термини в настоящата методика, на които не е дадена дефиниция, включително и думите или термините използвани в самите дефиниции, да се разбират в смисъла, даден им от тълковния речник на думите в българския език.</w:t>
      </w:r>
    </w:p>
    <w:sectPr w:rsidR="0073188D" w:rsidRPr="0073188D" w:rsidSect="00767038">
      <w:headerReference w:type="default" r:id="rId8"/>
      <w:headerReference w:type="first" r:id="rId9"/>
      <w:footerReference w:type="first" r:id="rId10"/>
      <w:pgSz w:w="11906" w:h="16838"/>
      <w:pgMar w:top="1243" w:right="991" w:bottom="1417" w:left="1417" w:header="397" w:footer="831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3FAB0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3FAB04" w16cid:durableId="20565DA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252" w:rsidRDefault="00AE5252" w:rsidP="007A0BB9">
      <w:pPr>
        <w:spacing w:line="240" w:lineRule="auto"/>
      </w:pPr>
      <w:r>
        <w:separator/>
      </w:r>
    </w:p>
  </w:endnote>
  <w:endnote w:type="continuationSeparator" w:id="0">
    <w:p w:rsidR="00AE5252" w:rsidRDefault="00AE5252" w:rsidP="007A0B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433" w:rsidRPr="00337433" w:rsidRDefault="00337433" w:rsidP="00337433">
    <w:pPr>
      <w:ind w:firstLine="708"/>
      <w:jc w:val="center"/>
      <w:outlineLvl w:val="0"/>
      <w:rPr>
        <w:b/>
        <w:bCs/>
        <w:color w:val="000000"/>
        <w:sz w:val="28"/>
        <w:szCs w:val="28"/>
        <w:u w:val="single"/>
      </w:rPr>
    </w:pPr>
    <w:bookmarkStart w:id="2" w:name="OLE_LINK53"/>
    <w:bookmarkStart w:id="3" w:name="OLE_LINK54"/>
    <w:bookmarkStart w:id="4" w:name="_Hlk458783958"/>
    <w:r w:rsidRPr="00337433">
      <w:rPr>
        <w:noProof/>
        <w:lang w:eastAsia="bg-BG"/>
      </w:rPr>
      <w:drawing>
        <wp:anchor distT="0" distB="0" distL="114300" distR="114300" simplePos="0" relativeHeight="251663360" behindDoc="1" locked="0" layoutInCell="1" allowOverlap="1" wp14:anchorId="01B68519" wp14:editId="521CCDD2">
          <wp:simplePos x="0" y="0"/>
          <wp:positionH relativeFrom="column">
            <wp:posOffset>-4445</wp:posOffset>
          </wp:positionH>
          <wp:positionV relativeFrom="paragraph">
            <wp:posOffset>124460</wp:posOffset>
          </wp:positionV>
          <wp:extent cx="733425" cy="923925"/>
          <wp:effectExtent l="0" t="0" r="9525" b="9525"/>
          <wp:wrapThrough wrapText="bothSides">
            <wp:wrapPolygon edited="0">
              <wp:start x="1122" y="0"/>
              <wp:lineTo x="0" y="1781"/>
              <wp:lineTo x="0" y="18705"/>
              <wp:lineTo x="3927" y="21377"/>
              <wp:lineTo x="9538" y="21377"/>
              <wp:lineTo x="12343" y="21377"/>
              <wp:lineTo x="17953" y="21377"/>
              <wp:lineTo x="21319" y="19151"/>
              <wp:lineTo x="21319" y="2672"/>
              <wp:lineTo x="19636" y="0"/>
              <wp:lineTo x="1122" y="0"/>
            </wp:wrapPolygon>
          </wp:wrapThrough>
          <wp:docPr id="2" name="Картина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37433" w:rsidRPr="00337433" w:rsidRDefault="00337433" w:rsidP="00337433">
    <w:pPr>
      <w:ind w:firstLine="708"/>
      <w:jc w:val="center"/>
      <w:outlineLvl w:val="0"/>
      <w:rPr>
        <w:b/>
        <w:bCs/>
        <w:color w:val="000000"/>
        <w:sz w:val="28"/>
        <w:szCs w:val="28"/>
        <w:u w:val="single"/>
      </w:rPr>
    </w:pPr>
  </w:p>
  <w:p w:rsidR="00337433" w:rsidRPr="00337433" w:rsidRDefault="00337433" w:rsidP="00337433">
    <w:pPr>
      <w:ind w:firstLine="1276"/>
      <w:jc w:val="center"/>
      <w:outlineLvl w:val="0"/>
      <w:rPr>
        <w:b/>
        <w:bCs/>
        <w:color w:val="000000"/>
        <w:sz w:val="28"/>
        <w:szCs w:val="28"/>
      </w:rPr>
    </w:pPr>
    <w:r w:rsidRPr="00337433">
      <w:rPr>
        <w:b/>
        <w:bCs/>
        <w:color w:val="000000"/>
        <w:sz w:val="28"/>
        <w:szCs w:val="28"/>
        <w:u w:val="single"/>
      </w:rPr>
      <w:t>ОБЩИНА ЛОЗНИЦА – ОБЛАСТ РАЗГРАД</w:t>
    </w:r>
  </w:p>
  <w:p w:rsidR="00337433" w:rsidRPr="00337433" w:rsidRDefault="00337433" w:rsidP="00337433">
    <w:pPr>
      <w:ind w:left="708" w:firstLine="708"/>
      <w:jc w:val="center"/>
      <w:outlineLvl w:val="0"/>
      <w:rPr>
        <w:color w:val="000000"/>
        <w:sz w:val="18"/>
        <w:szCs w:val="18"/>
      </w:rPr>
    </w:pPr>
    <w:r w:rsidRPr="00337433">
      <w:rPr>
        <w:color w:val="000000"/>
        <w:sz w:val="18"/>
        <w:szCs w:val="18"/>
      </w:rPr>
      <w:t>гр. Лозница, п.к.7290, ул. „Васил Левски“ № 6, тел.</w:t>
    </w:r>
    <w:r w:rsidRPr="00337433">
      <w:rPr>
        <w:sz w:val="18"/>
        <w:szCs w:val="18"/>
      </w:rPr>
      <w:t xml:space="preserve"> </w:t>
    </w:r>
    <w:r w:rsidRPr="00337433">
      <w:rPr>
        <w:color w:val="000000"/>
        <w:sz w:val="18"/>
        <w:szCs w:val="18"/>
      </w:rPr>
      <w:t xml:space="preserve">08475 2551, факс 08475 2403, </w:t>
    </w:r>
    <w:proofErr w:type="spellStart"/>
    <w:r w:rsidRPr="00337433">
      <w:rPr>
        <w:color w:val="000000"/>
        <w:sz w:val="18"/>
        <w:szCs w:val="18"/>
      </w:rPr>
      <w:t>e-mail</w:t>
    </w:r>
    <w:proofErr w:type="spellEnd"/>
    <w:r w:rsidRPr="00337433">
      <w:rPr>
        <w:color w:val="000000"/>
        <w:sz w:val="18"/>
        <w:szCs w:val="18"/>
      </w:rPr>
      <w:t>: obloznica@abv.bg</w:t>
    </w:r>
  </w:p>
  <w:bookmarkEnd w:id="2"/>
  <w:bookmarkEnd w:id="3"/>
  <w:bookmarkEnd w:id="4"/>
  <w:p w:rsidR="00337433" w:rsidRPr="00337433" w:rsidRDefault="00337433" w:rsidP="00337433">
    <w:pPr>
      <w:suppressLineNumbers/>
      <w:tabs>
        <w:tab w:val="center" w:pos="4536"/>
        <w:tab w:val="right" w:pos="9072"/>
      </w:tabs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252" w:rsidRDefault="00AE5252" w:rsidP="007A0BB9">
      <w:pPr>
        <w:spacing w:line="240" w:lineRule="auto"/>
      </w:pPr>
      <w:r>
        <w:separator/>
      </w:r>
    </w:p>
  </w:footnote>
  <w:footnote w:type="continuationSeparator" w:id="0">
    <w:p w:rsidR="00AE5252" w:rsidRDefault="00AE5252" w:rsidP="007A0B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7A" w:rsidRPr="00156E7A" w:rsidRDefault="00156E7A" w:rsidP="00156E7A">
    <w:pPr>
      <w:suppressAutoHyphens w:val="0"/>
      <w:spacing w:after="200" w:line="276" w:lineRule="auto"/>
      <w:rPr>
        <w:noProof/>
        <w:lang w:val="en-US" w:eastAsia="bg-BG"/>
      </w:rPr>
    </w:pPr>
    <w:r w:rsidRPr="00156E7A">
      <w:rPr>
        <w:rFonts w:ascii="Calibri" w:eastAsia="Calibri" w:hAnsi="Calibri"/>
        <w:noProof/>
        <w:sz w:val="22"/>
        <w:szCs w:val="22"/>
        <w:lang w:eastAsia="bg-BG"/>
      </w:rPr>
      <w:drawing>
        <wp:anchor distT="0" distB="0" distL="114300" distR="114300" simplePos="0" relativeHeight="251655168" behindDoc="0" locked="0" layoutInCell="1" allowOverlap="1" wp14:anchorId="71117895" wp14:editId="464BEBF5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9525" b="0"/>
          <wp:wrapSquare wrapText="bothSides"/>
          <wp:docPr id="4" name="Картина 4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E5252">
      <w:rPr>
        <w:rFonts w:asciiTheme="minorHAnsi" w:eastAsiaTheme="minorHAnsi" w:hAnsiTheme="minorHAnsi" w:cstheme="minorBidi"/>
        <w:noProof/>
        <w:sz w:val="22"/>
        <w:szCs w:val="22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4" o:spid="_x0000_s2050" type="#_x0000_t202" style="position:absolute;margin-left:113.55pt;margin-top:.55pt;width:206.25pt;height:7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Vo8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" stroked="f">
          <v:textbox>
            <w:txbxContent>
              <w:p w:rsidR="00156E7A" w:rsidRPr="00596205" w:rsidRDefault="00156E7A" w:rsidP="00156E7A">
                <w:pPr>
                  <w:jc w:val="center"/>
                  <w:rPr>
                    <w:b/>
                    <w:bCs/>
                    <w:sz w:val="20"/>
                  </w:rPr>
                </w:pPr>
                <w:r w:rsidRPr="00596205">
                  <w:rPr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156E7A" w:rsidRPr="00596205" w:rsidRDefault="00156E7A" w:rsidP="00156E7A">
                <w:pPr>
                  <w:jc w:val="center"/>
                  <w:rPr>
                    <w:b/>
                    <w:bCs/>
                    <w:sz w:val="20"/>
                  </w:rPr>
                </w:pPr>
                <w:r w:rsidRPr="00596205">
                  <w:rPr>
                    <w:b/>
                    <w:bCs/>
                    <w:sz w:val="20"/>
                  </w:rPr>
                  <w:t>ЕВРОПЕЙСКИ ЗЕМЕДЕЛСКИ ФОНД</w:t>
                </w:r>
                <w:r w:rsidRPr="00596205">
                  <w:rPr>
                    <w:b/>
                    <w:bCs/>
                  </w:rPr>
                  <w:t xml:space="preserve"> </w:t>
                </w:r>
                <w:r w:rsidRPr="00596205">
                  <w:rPr>
                    <w:b/>
                    <w:bCs/>
                    <w:sz w:val="20"/>
                  </w:rPr>
                  <w:t>ЗА РАЗВИТИЕ НА СЕЛСКИТЕ РАЙОНИ</w:t>
                </w:r>
              </w:p>
              <w:p w:rsidR="00156E7A" w:rsidRDefault="00156E7A" w:rsidP="00156E7A"/>
            </w:txbxContent>
          </v:textbox>
          <w10:wrap type="square"/>
        </v:shape>
      </w:pict>
    </w:r>
    <w:r w:rsidRPr="00156E7A">
      <w:rPr>
        <w:noProof/>
        <w:lang w:eastAsia="bg-BG"/>
      </w:rPr>
      <w:drawing>
        <wp:inline distT="0" distB="0" distL="0" distR="0" wp14:anchorId="69A7EB58" wp14:editId="69FC8AE6">
          <wp:extent cx="1266825" cy="819150"/>
          <wp:effectExtent l="0" t="0" r="952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410" w:rsidRPr="00156E7A" w:rsidRDefault="00644410" w:rsidP="00156E7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B2D" w:rsidRPr="00156E7A" w:rsidRDefault="00727B2D" w:rsidP="00727B2D">
    <w:pPr>
      <w:suppressAutoHyphens w:val="0"/>
      <w:spacing w:after="200" w:line="276" w:lineRule="auto"/>
      <w:rPr>
        <w:noProof/>
        <w:lang w:val="en-US" w:eastAsia="bg-BG"/>
      </w:rPr>
    </w:pPr>
    <w:r w:rsidRPr="00156E7A">
      <w:rPr>
        <w:rFonts w:ascii="Calibri" w:eastAsia="Calibri" w:hAnsi="Calibri"/>
        <w:noProof/>
        <w:sz w:val="22"/>
        <w:szCs w:val="22"/>
        <w:lang w:eastAsia="bg-BG"/>
      </w:rPr>
      <w:drawing>
        <wp:anchor distT="0" distB="0" distL="114300" distR="114300" simplePos="0" relativeHeight="251660288" behindDoc="0" locked="0" layoutInCell="1" allowOverlap="1" wp14:anchorId="18698408" wp14:editId="22FADEA8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9525" b="0"/>
          <wp:wrapSquare wrapText="bothSides"/>
          <wp:docPr id="3" name="Картина 3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E5252">
      <w:rPr>
        <w:rFonts w:asciiTheme="minorHAnsi" w:eastAsiaTheme="minorHAnsi" w:hAnsiTheme="minorHAnsi" w:cstheme="minorBidi"/>
        <w:noProof/>
        <w:sz w:val="22"/>
        <w:szCs w:val="22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3.55pt;margin-top:.55pt;width:206.25pt;height:7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Vo8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" stroked="f">
          <v:textbox>
            <w:txbxContent>
              <w:p w:rsidR="00727B2D" w:rsidRPr="00596205" w:rsidRDefault="00727B2D" w:rsidP="00727B2D">
                <w:pPr>
                  <w:jc w:val="center"/>
                  <w:rPr>
                    <w:b/>
                    <w:bCs/>
                    <w:sz w:val="20"/>
                  </w:rPr>
                </w:pPr>
                <w:r w:rsidRPr="00596205">
                  <w:rPr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727B2D" w:rsidRPr="00596205" w:rsidRDefault="00727B2D" w:rsidP="00727B2D">
                <w:pPr>
                  <w:jc w:val="center"/>
                  <w:rPr>
                    <w:b/>
                    <w:bCs/>
                    <w:sz w:val="20"/>
                  </w:rPr>
                </w:pPr>
                <w:r w:rsidRPr="00596205">
                  <w:rPr>
                    <w:b/>
                    <w:bCs/>
                    <w:sz w:val="20"/>
                  </w:rPr>
                  <w:t>ЕВРОПЕЙСКИ ЗЕМЕДЕЛСКИ ФОНД</w:t>
                </w:r>
                <w:r w:rsidRPr="00596205">
                  <w:rPr>
                    <w:b/>
                    <w:bCs/>
                  </w:rPr>
                  <w:t xml:space="preserve"> </w:t>
                </w:r>
                <w:r w:rsidRPr="00596205">
                  <w:rPr>
                    <w:b/>
                    <w:bCs/>
                    <w:sz w:val="20"/>
                  </w:rPr>
                  <w:t>ЗА РАЗВИТИЕ НА СЕЛСКИТЕ РАЙОНИ</w:t>
                </w:r>
              </w:p>
              <w:p w:rsidR="00727B2D" w:rsidRDefault="00727B2D" w:rsidP="00727B2D"/>
            </w:txbxContent>
          </v:textbox>
          <w10:wrap type="square"/>
        </v:shape>
      </w:pict>
    </w:r>
    <w:r w:rsidRPr="00156E7A">
      <w:rPr>
        <w:noProof/>
        <w:lang w:eastAsia="bg-BG"/>
      </w:rPr>
      <w:drawing>
        <wp:inline distT="0" distB="0" distL="0" distR="0" wp14:anchorId="0D3C8BE8" wp14:editId="66CFF196">
          <wp:extent cx="1266825" cy="819150"/>
          <wp:effectExtent l="0" t="0" r="952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27B2D" w:rsidRDefault="00727B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5852"/>
      </v:shape>
    </w:pict>
  </w:numPicBullet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(%1)"/>
      <w:lvlJc w:val="left"/>
      <w:pPr>
        <w:tabs>
          <w:tab w:val="num" w:pos="720"/>
        </w:tabs>
        <w:ind w:left="357" w:firstLine="3"/>
      </w:pPr>
      <w:rPr>
        <w:b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/>
      </w:rPr>
    </w:lvl>
  </w:abstractNum>
  <w:abstractNum w:abstractNumId="3">
    <w:nsid w:val="003059D5"/>
    <w:multiLevelType w:val="multilevel"/>
    <w:tmpl w:val="026658E2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3532509"/>
    <w:multiLevelType w:val="hybridMultilevel"/>
    <w:tmpl w:val="5B6E10E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DE0CB3"/>
    <w:multiLevelType w:val="hybridMultilevel"/>
    <w:tmpl w:val="594AE0D0"/>
    <w:lvl w:ilvl="0" w:tplc="4E8490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545A04"/>
    <w:multiLevelType w:val="hybridMultilevel"/>
    <w:tmpl w:val="E9144628"/>
    <w:lvl w:ilvl="0" w:tplc="5C46874C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F4D265D"/>
    <w:multiLevelType w:val="multilevel"/>
    <w:tmpl w:val="15363B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E86F08"/>
    <w:multiLevelType w:val="hybridMultilevel"/>
    <w:tmpl w:val="21F8A3CC"/>
    <w:lvl w:ilvl="0" w:tplc="C242E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5D5196"/>
    <w:multiLevelType w:val="hybridMultilevel"/>
    <w:tmpl w:val="97F8AD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98147C"/>
    <w:multiLevelType w:val="hybridMultilevel"/>
    <w:tmpl w:val="A81CC13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E6C3A"/>
    <w:multiLevelType w:val="hybridMultilevel"/>
    <w:tmpl w:val="16ECA63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2425CD"/>
    <w:multiLevelType w:val="hybridMultilevel"/>
    <w:tmpl w:val="889EB1CE"/>
    <w:lvl w:ilvl="0" w:tplc="57B2D9D6">
      <w:start w:val="7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227771B2"/>
    <w:multiLevelType w:val="hybridMultilevel"/>
    <w:tmpl w:val="243EE5BC"/>
    <w:lvl w:ilvl="0" w:tplc="ECCAA27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A456D"/>
    <w:multiLevelType w:val="hybridMultilevel"/>
    <w:tmpl w:val="E83A910C"/>
    <w:lvl w:ilvl="0" w:tplc="E83CD754">
      <w:start w:val="1"/>
      <w:numFmt w:val="bullet"/>
      <w:lvlText w:val=""/>
      <w:lvlJc w:val="left"/>
      <w:pPr>
        <w:ind w:left="720" w:hanging="360"/>
      </w:pPr>
      <w:rPr>
        <w:rFonts w:ascii="Wingdings 3" w:hAnsi="Wingdings 3" w:hint="default"/>
        <w:b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4366B4"/>
    <w:multiLevelType w:val="hybridMultilevel"/>
    <w:tmpl w:val="95320738"/>
    <w:lvl w:ilvl="0" w:tplc="F580D782">
      <w:start w:val="1"/>
      <w:numFmt w:val="bullet"/>
      <w:lvlText w:val=""/>
      <w:lvlJc w:val="left"/>
      <w:pPr>
        <w:ind w:left="720" w:hanging="360"/>
      </w:pPr>
      <w:rPr>
        <w:rFonts w:ascii="Wingdings 3" w:hAnsi="Wingdings 3" w:hint="default"/>
        <w:b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12781E"/>
    <w:multiLevelType w:val="hybridMultilevel"/>
    <w:tmpl w:val="B70E0724"/>
    <w:lvl w:ilvl="0" w:tplc="0409000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E018D4"/>
    <w:multiLevelType w:val="hybridMultilevel"/>
    <w:tmpl w:val="7786DFA2"/>
    <w:lvl w:ilvl="0" w:tplc="F580D782">
      <w:start w:val="1"/>
      <w:numFmt w:val="bullet"/>
      <w:lvlText w:val=""/>
      <w:lvlJc w:val="left"/>
      <w:pPr>
        <w:ind w:left="720" w:hanging="360"/>
      </w:pPr>
      <w:rPr>
        <w:rFonts w:ascii="Wingdings 3" w:hAnsi="Wingdings 3" w:hint="default"/>
        <w:b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0757E9"/>
    <w:multiLevelType w:val="hybridMultilevel"/>
    <w:tmpl w:val="6A04BB9A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804A16"/>
    <w:multiLevelType w:val="multilevel"/>
    <w:tmpl w:val="C06C82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8F86E16"/>
    <w:multiLevelType w:val="hybridMultilevel"/>
    <w:tmpl w:val="9A7E5C6A"/>
    <w:lvl w:ilvl="0" w:tplc="B3380EAC">
      <w:start w:val="3"/>
      <w:numFmt w:val="decimal"/>
      <w:lvlText w:val="%1."/>
      <w:lvlJc w:val="left"/>
      <w:pPr>
        <w:ind w:left="720" w:hanging="360"/>
      </w:pPr>
      <w:rPr>
        <w:rFonts w:hint="default"/>
        <w:i/>
        <w:u w:val="none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F76A19"/>
    <w:multiLevelType w:val="multilevel"/>
    <w:tmpl w:val="FB0EED7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13E5579"/>
    <w:multiLevelType w:val="hybridMultilevel"/>
    <w:tmpl w:val="77A2124E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9C58B8"/>
    <w:multiLevelType w:val="multilevel"/>
    <w:tmpl w:val="98B28AEE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D1660B"/>
    <w:multiLevelType w:val="hybridMultilevel"/>
    <w:tmpl w:val="22D4AAB2"/>
    <w:lvl w:ilvl="0" w:tplc="04020007">
      <w:start w:val="1"/>
      <w:numFmt w:val="bullet"/>
      <w:lvlText w:val=""/>
      <w:lvlPicBulletId w:val="0"/>
      <w:lvlJc w:val="left"/>
      <w:pPr>
        <w:ind w:left="11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>
    <w:nsid w:val="67C659A4"/>
    <w:multiLevelType w:val="hybridMultilevel"/>
    <w:tmpl w:val="85D2342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CAF56C4"/>
    <w:multiLevelType w:val="hybridMultilevel"/>
    <w:tmpl w:val="B98A79B8"/>
    <w:lvl w:ilvl="0" w:tplc="EF260E7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17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26"/>
  </w:num>
  <w:num w:numId="11">
    <w:abstractNumId w:val="19"/>
  </w:num>
  <w:num w:numId="12">
    <w:abstractNumId w:val="24"/>
  </w:num>
  <w:num w:numId="13">
    <w:abstractNumId w:val="14"/>
  </w:num>
  <w:num w:numId="14">
    <w:abstractNumId w:val="15"/>
  </w:num>
  <w:num w:numId="15">
    <w:abstractNumId w:val="22"/>
  </w:num>
  <w:num w:numId="16">
    <w:abstractNumId w:val="3"/>
  </w:num>
  <w:num w:numId="17">
    <w:abstractNumId w:val="18"/>
  </w:num>
  <w:num w:numId="18">
    <w:abstractNumId w:val="8"/>
  </w:num>
  <w:num w:numId="19">
    <w:abstractNumId w:val="25"/>
  </w:num>
  <w:num w:numId="20">
    <w:abstractNumId w:val="13"/>
  </w:num>
  <w:num w:numId="21">
    <w:abstractNumId w:val="7"/>
  </w:num>
  <w:num w:numId="22">
    <w:abstractNumId w:val="20"/>
  </w:num>
  <w:num w:numId="23">
    <w:abstractNumId w:val="23"/>
  </w:num>
  <w:num w:numId="24">
    <w:abstractNumId w:val="9"/>
  </w:num>
  <w:num w:numId="25">
    <w:abstractNumId w:val="11"/>
  </w:num>
  <w:num w:numId="26">
    <w:abstractNumId w:val="4"/>
  </w:num>
  <w:num w:numId="27">
    <w:abstractNumId w:val="6"/>
  </w:num>
  <w:num w:numId="28">
    <w:abstractNumId w:val="21"/>
  </w:num>
  <w:num w:numId="29">
    <w:abstractNumId w:val="9"/>
  </w:num>
  <w:num w:numId="30">
    <w:abstractNumId w:val="11"/>
  </w:num>
  <w:num w:numId="3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M KARAMELKA">
    <w15:presenceInfo w15:providerId="Windows Live" w15:userId="e00ff9d3f60a20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3DB4"/>
    <w:rsid w:val="00033E94"/>
    <w:rsid w:val="00042FD8"/>
    <w:rsid w:val="00045EC2"/>
    <w:rsid w:val="000557CF"/>
    <w:rsid w:val="00060859"/>
    <w:rsid w:val="00062738"/>
    <w:rsid w:val="00072150"/>
    <w:rsid w:val="00073A53"/>
    <w:rsid w:val="000771BE"/>
    <w:rsid w:val="00077A69"/>
    <w:rsid w:val="00084DDD"/>
    <w:rsid w:val="00085087"/>
    <w:rsid w:val="0009445A"/>
    <w:rsid w:val="000A1DF7"/>
    <w:rsid w:val="000B0561"/>
    <w:rsid w:val="000C03AA"/>
    <w:rsid w:val="000C2400"/>
    <w:rsid w:val="000C2E92"/>
    <w:rsid w:val="000C3A9F"/>
    <w:rsid w:val="000D4487"/>
    <w:rsid w:val="000E0326"/>
    <w:rsid w:val="000E26E8"/>
    <w:rsid w:val="001148D7"/>
    <w:rsid w:val="00116537"/>
    <w:rsid w:val="001338C9"/>
    <w:rsid w:val="0015296F"/>
    <w:rsid w:val="00156E7A"/>
    <w:rsid w:val="0016341C"/>
    <w:rsid w:val="00163DB4"/>
    <w:rsid w:val="00167DC1"/>
    <w:rsid w:val="00192ABC"/>
    <w:rsid w:val="00195C6E"/>
    <w:rsid w:val="001C09A2"/>
    <w:rsid w:val="001C4EB6"/>
    <w:rsid w:val="001C4EDD"/>
    <w:rsid w:val="001D5AF3"/>
    <w:rsid w:val="001F41EC"/>
    <w:rsid w:val="0020762E"/>
    <w:rsid w:val="002161A5"/>
    <w:rsid w:val="00231689"/>
    <w:rsid w:val="00232C69"/>
    <w:rsid w:val="00240B4E"/>
    <w:rsid w:val="00247C05"/>
    <w:rsid w:val="00272B91"/>
    <w:rsid w:val="00275A39"/>
    <w:rsid w:val="002924B2"/>
    <w:rsid w:val="002A1BBA"/>
    <w:rsid w:val="002A6A93"/>
    <w:rsid w:val="002B1997"/>
    <w:rsid w:val="002B44C3"/>
    <w:rsid w:val="002C5416"/>
    <w:rsid w:val="002C6AB3"/>
    <w:rsid w:val="002C7293"/>
    <w:rsid w:val="002E1434"/>
    <w:rsid w:val="002E624F"/>
    <w:rsid w:val="002F3B75"/>
    <w:rsid w:val="002F489E"/>
    <w:rsid w:val="003129AE"/>
    <w:rsid w:val="00323D8F"/>
    <w:rsid w:val="00333452"/>
    <w:rsid w:val="0033566D"/>
    <w:rsid w:val="00337433"/>
    <w:rsid w:val="00344B67"/>
    <w:rsid w:val="00354263"/>
    <w:rsid w:val="00354C4F"/>
    <w:rsid w:val="0035573C"/>
    <w:rsid w:val="003604E8"/>
    <w:rsid w:val="00363EA5"/>
    <w:rsid w:val="00370E96"/>
    <w:rsid w:val="0038254C"/>
    <w:rsid w:val="00387C09"/>
    <w:rsid w:val="003932BD"/>
    <w:rsid w:val="003947E6"/>
    <w:rsid w:val="00395DBA"/>
    <w:rsid w:val="003A4689"/>
    <w:rsid w:val="003A6EC3"/>
    <w:rsid w:val="003A7AEF"/>
    <w:rsid w:val="00401890"/>
    <w:rsid w:val="00402551"/>
    <w:rsid w:val="00412D4F"/>
    <w:rsid w:val="00412F32"/>
    <w:rsid w:val="004142E2"/>
    <w:rsid w:val="00414A04"/>
    <w:rsid w:val="00421D67"/>
    <w:rsid w:val="0043150A"/>
    <w:rsid w:val="00441DE2"/>
    <w:rsid w:val="00444F67"/>
    <w:rsid w:val="00452C9D"/>
    <w:rsid w:val="00480A36"/>
    <w:rsid w:val="00480BEC"/>
    <w:rsid w:val="004902CB"/>
    <w:rsid w:val="00493ABE"/>
    <w:rsid w:val="004A776D"/>
    <w:rsid w:val="004C01EE"/>
    <w:rsid w:val="004C25EC"/>
    <w:rsid w:val="004C4557"/>
    <w:rsid w:val="004C7005"/>
    <w:rsid w:val="004C7CDF"/>
    <w:rsid w:val="004C7E0E"/>
    <w:rsid w:val="004D02B9"/>
    <w:rsid w:val="004D5BE0"/>
    <w:rsid w:val="004E0661"/>
    <w:rsid w:val="005014BD"/>
    <w:rsid w:val="00512A9B"/>
    <w:rsid w:val="00524BF9"/>
    <w:rsid w:val="00532B07"/>
    <w:rsid w:val="00536E69"/>
    <w:rsid w:val="00540F96"/>
    <w:rsid w:val="00541787"/>
    <w:rsid w:val="00552AF1"/>
    <w:rsid w:val="00564D1B"/>
    <w:rsid w:val="005818BA"/>
    <w:rsid w:val="00590046"/>
    <w:rsid w:val="005A3B9B"/>
    <w:rsid w:val="005B3495"/>
    <w:rsid w:val="005C1CF1"/>
    <w:rsid w:val="005C3377"/>
    <w:rsid w:val="005D70A7"/>
    <w:rsid w:val="005E2C33"/>
    <w:rsid w:val="005E7739"/>
    <w:rsid w:val="005F69BF"/>
    <w:rsid w:val="00605078"/>
    <w:rsid w:val="00605453"/>
    <w:rsid w:val="00621AAE"/>
    <w:rsid w:val="00626B9E"/>
    <w:rsid w:val="00630E58"/>
    <w:rsid w:val="00631867"/>
    <w:rsid w:val="006421D8"/>
    <w:rsid w:val="006429EA"/>
    <w:rsid w:val="00643476"/>
    <w:rsid w:val="00644410"/>
    <w:rsid w:val="00657530"/>
    <w:rsid w:val="00662A2F"/>
    <w:rsid w:val="00666201"/>
    <w:rsid w:val="00687DAA"/>
    <w:rsid w:val="006A4723"/>
    <w:rsid w:val="006B13C6"/>
    <w:rsid w:val="006B2F2F"/>
    <w:rsid w:val="006C53EF"/>
    <w:rsid w:val="006D5D12"/>
    <w:rsid w:val="006E0EC7"/>
    <w:rsid w:val="006F7EE7"/>
    <w:rsid w:val="00702810"/>
    <w:rsid w:val="00703E4A"/>
    <w:rsid w:val="00704E61"/>
    <w:rsid w:val="007223CF"/>
    <w:rsid w:val="0072709B"/>
    <w:rsid w:val="00727B2D"/>
    <w:rsid w:val="007306CC"/>
    <w:rsid w:val="0073188D"/>
    <w:rsid w:val="00755654"/>
    <w:rsid w:val="0076414A"/>
    <w:rsid w:val="00767038"/>
    <w:rsid w:val="0077478D"/>
    <w:rsid w:val="00781E15"/>
    <w:rsid w:val="007903E3"/>
    <w:rsid w:val="007A0BB9"/>
    <w:rsid w:val="007A0F68"/>
    <w:rsid w:val="007B2C1F"/>
    <w:rsid w:val="007B7211"/>
    <w:rsid w:val="007C18A2"/>
    <w:rsid w:val="007C53F6"/>
    <w:rsid w:val="007D2DFB"/>
    <w:rsid w:val="007D6161"/>
    <w:rsid w:val="007E378F"/>
    <w:rsid w:val="007E617F"/>
    <w:rsid w:val="007E6D6C"/>
    <w:rsid w:val="007F79B3"/>
    <w:rsid w:val="007F7CB7"/>
    <w:rsid w:val="00804C0C"/>
    <w:rsid w:val="008158C5"/>
    <w:rsid w:val="00816694"/>
    <w:rsid w:val="00831F7D"/>
    <w:rsid w:val="00834410"/>
    <w:rsid w:val="0084314E"/>
    <w:rsid w:val="008447FC"/>
    <w:rsid w:val="00853A55"/>
    <w:rsid w:val="00865C7F"/>
    <w:rsid w:val="0087412C"/>
    <w:rsid w:val="00884076"/>
    <w:rsid w:val="0089775E"/>
    <w:rsid w:val="008A1CDD"/>
    <w:rsid w:val="008A4898"/>
    <w:rsid w:val="008A7C6B"/>
    <w:rsid w:val="008B0588"/>
    <w:rsid w:val="008B5829"/>
    <w:rsid w:val="008B5CEF"/>
    <w:rsid w:val="008B5DB9"/>
    <w:rsid w:val="008C2A34"/>
    <w:rsid w:val="008D27B0"/>
    <w:rsid w:val="008F1AAB"/>
    <w:rsid w:val="008F2E00"/>
    <w:rsid w:val="00925AEA"/>
    <w:rsid w:val="0093186A"/>
    <w:rsid w:val="00934127"/>
    <w:rsid w:val="00940066"/>
    <w:rsid w:val="00941395"/>
    <w:rsid w:val="00942706"/>
    <w:rsid w:val="00953364"/>
    <w:rsid w:val="009631DC"/>
    <w:rsid w:val="00965657"/>
    <w:rsid w:val="00966587"/>
    <w:rsid w:val="00970385"/>
    <w:rsid w:val="0098089B"/>
    <w:rsid w:val="0098485A"/>
    <w:rsid w:val="00985103"/>
    <w:rsid w:val="0099799C"/>
    <w:rsid w:val="00997B73"/>
    <w:rsid w:val="009B1F4B"/>
    <w:rsid w:val="009B4B22"/>
    <w:rsid w:val="009B578B"/>
    <w:rsid w:val="009C1B01"/>
    <w:rsid w:val="009C685B"/>
    <w:rsid w:val="009D053D"/>
    <w:rsid w:val="009D3E70"/>
    <w:rsid w:val="009F13C0"/>
    <w:rsid w:val="009F5082"/>
    <w:rsid w:val="00A014D0"/>
    <w:rsid w:val="00A06105"/>
    <w:rsid w:val="00A17801"/>
    <w:rsid w:val="00A21E9F"/>
    <w:rsid w:val="00A22588"/>
    <w:rsid w:val="00A32633"/>
    <w:rsid w:val="00A434CE"/>
    <w:rsid w:val="00A56BBD"/>
    <w:rsid w:val="00A8254C"/>
    <w:rsid w:val="00A82655"/>
    <w:rsid w:val="00A91AFC"/>
    <w:rsid w:val="00A955D7"/>
    <w:rsid w:val="00AA1D9C"/>
    <w:rsid w:val="00AB2E14"/>
    <w:rsid w:val="00AC2E38"/>
    <w:rsid w:val="00AE4FCA"/>
    <w:rsid w:val="00AE5252"/>
    <w:rsid w:val="00AE5EAB"/>
    <w:rsid w:val="00AF24D6"/>
    <w:rsid w:val="00B2368F"/>
    <w:rsid w:val="00B2638E"/>
    <w:rsid w:val="00B306E2"/>
    <w:rsid w:val="00B53C96"/>
    <w:rsid w:val="00B613E5"/>
    <w:rsid w:val="00B65922"/>
    <w:rsid w:val="00B6667B"/>
    <w:rsid w:val="00B704CC"/>
    <w:rsid w:val="00B80467"/>
    <w:rsid w:val="00B87BE7"/>
    <w:rsid w:val="00B91F92"/>
    <w:rsid w:val="00B9594D"/>
    <w:rsid w:val="00BA77B3"/>
    <w:rsid w:val="00BB51AE"/>
    <w:rsid w:val="00BC1F06"/>
    <w:rsid w:val="00BC60EF"/>
    <w:rsid w:val="00C043A3"/>
    <w:rsid w:val="00C35294"/>
    <w:rsid w:val="00C37898"/>
    <w:rsid w:val="00C447AE"/>
    <w:rsid w:val="00C44AA8"/>
    <w:rsid w:val="00C610FB"/>
    <w:rsid w:val="00C62317"/>
    <w:rsid w:val="00C64B8C"/>
    <w:rsid w:val="00C652D0"/>
    <w:rsid w:val="00C65589"/>
    <w:rsid w:val="00C7290E"/>
    <w:rsid w:val="00C74C7D"/>
    <w:rsid w:val="00C82EA3"/>
    <w:rsid w:val="00CA266A"/>
    <w:rsid w:val="00CB140F"/>
    <w:rsid w:val="00CB1AD5"/>
    <w:rsid w:val="00CC0A8F"/>
    <w:rsid w:val="00CC1E23"/>
    <w:rsid w:val="00CC2713"/>
    <w:rsid w:val="00CC292D"/>
    <w:rsid w:val="00CC384D"/>
    <w:rsid w:val="00CC4363"/>
    <w:rsid w:val="00CC721E"/>
    <w:rsid w:val="00CF01FE"/>
    <w:rsid w:val="00CF2464"/>
    <w:rsid w:val="00CF47DC"/>
    <w:rsid w:val="00D0324F"/>
    <w:rsid w:val="00D14382"/>
    <w:rsid w:val="00D22525"/>
    <w:rsid w:val="00D24863"/>
    <w:rsid w:val="00D346A3"/>
    <w:rsid w:val="00D643CE"/>
    <w:rsid w:val="00DC1E72"/>
    <w:rsid w:val="00DD30C6"/>
    <w:rsid w:val="00DF34E3"/>
    <w:rsid w:val="00DF5767"/>
    <w:rsid w:val="00E066F1"/>
    <w:rsid w:val="00E06C63"/>
    <w:rsid w:val="00E11FB0"/>
    <w:rsid w:val="00E16BF9"/>
    <w:rsid w:val="00E34C8F"/>
    <w:rsid w:val="00E369D8"/>
    <w:rsid w:val="00E37E91"/>
    <w:rsid w:val="00E428C4"/>
    <w:rsid w:val="00E50AC5"/>
    <w:rsid w:val="00E53C7B"/>
    <w:rsid w:val="00E77F5E"/>
    <w:rsid w:val="00E8575A"/>
    <w:rsid w:val="00E93D68"/>
    <w:rsid w:val="00EC7759"/>
    <w:rsid w:val="00ED3B66"/>
    <w:rsid w:val="00EE266C"/>
    <w:rsid w:val="00EE4FEA"/>
    <w:rsid w:val="00EF0CA6"/>
    <w:rsid w:val="00EF2BB3"/>
    <w:rsid w:val="00EF3599"/>
    <w:rsid w:val="00EF6F41"/>
    <w:rsid w:val="00F07500"/>
    <w:rsid w:val="00F1115E"/>
    <w:rsid w:val="00F135A4"/>
    <w:rsid w:val="00F14556"/>
    <w:rsid w:val="00F2081B"/>
    <w:rsid w:val="00F23A88"/>
    <w:rsid w:val="00F300B4"/>
    <w:rsid w:val="00F92CEC"/>
    <w:rsid w:val="00F940C4"/>
    <w:rsid w:val="00F959DA"/>
    <w:rsid w:val="00FC3DED"/>
    <w:rsid w:val="00FC77A6"/>
    <w:rsid w:val="00FD52FB"/>
    <w:rsid w:val="00FE3F2C"/>
    <w:rsid w:val="00FE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EA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75565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val="en-AU"/>
    </w:rPr>
  </w:style>
  <w:style w:type="paragraph" w:styleId="2">
    <w:name w:val="heading 2"/>
    <w:basedOn w:val="a"/>
    <w:next w:val="a0"/>
    <w:link w:val="20"/>
    <w:qFormat/>
    <w:rsid w:val="00755654"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3">
    <w:name w:val="heading 3"/>
    <w:basedOn w:val="a"/>
    <w:next w:val="a0"/>
    <w:link w:val="30"/>
    <w:qFormat/>
    <w:rsid w:val="0075565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paragraph" w:styleId="4">
    <w:name w:val="heading 4"/>
    <w:basedOn w:val="a"/>
    <w:next w:val="a0"/>
    <w:link w:val="40"/>
    <w:qFormat/>
    <w:rsid w:val="0075565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0"/>
    <w:link w:val="50"/>
    <w:qFormat/>
    <w:rsid w:val="0075565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0"/>
    <w:link w:val="60"/>
    <w:qFormat/>
    <w:rsid w:val="0075565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7">
    <w:name w:val="heading 7"/>
    <w:basedOn w:val="a"/>
    <w:next w:val="a0"/>
    <w:link w:val="70"/>
    <w:qFormat/>
    <w:rsid w:val="00755654"/>
    <w:pPr>
      <w:numPr>
        <w:ilvl w:val="6"/>
        <w:numId w:val="1"/>
      </w:numPr>
      <w:spacing w:before="240" w:after="60"/>
      <w:outlineLvl w:val="6"/>
    </w:pPr>
    <w:rPr>
      <w:lang w:val="en-US"/>
    </w:rPr>
  </w:style>
  <w:style w:type="paragraph" w:styleId="8">
    <w:name w:val="heading 8"/>
    <w:basedOn w:val="a"/>
    <w:next w:val="a0"/>
    <w:link w:val="80"/>
    <w:qFormat/>
    <w:rsid w:val="00755654"/>
    <w:pPr>
      <w:numPr>
        <w:ilvl w:val="7"/>
        <w:numId w:val="1"/>
      </w:numPr>
      <w:spacing w:before="240" w:after="60"/>
      <w:outlineLvl w:val="7"/>
    </w:pPr>
    <w:rPr>
      <w:i/>
      <w:iCs/>
      <w:lang w:val="en-GB"/>
    </w:rPr>
  </w:style>
  <w:style w:type="paragraph" w:styleId="9">
    <w:name w:val="heading 9"/>
    <w:basedOn w:val="a"/>
    <w:next w:val="a0"/>
    <w:link w:val="90"/>
    <w:qFormat/>
    <w:rsid w:val="00755654"/>
    <w:pPr>
      <w:keepNext/>
      <w:numPr>
        <w:ilvl w:val="8"/>
        <w:numId w:val="1"/>
      </w:numPr>
      <w:jc w:val="center"/>
      <w:outlineLvl w:val="8"/>
    </w:pPr>
    <w:rPr>
      <w:b/>
      <w:sz w:val="36"/>
      <w:szCs w:val="20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rsid w:val="00755654"/>
    <w:rPr>
      <w:rFonts w:ascii="Arial" w:eastAsia="Times New Roman" w:hAnsi="Arial" w:cs="Arial"/>
      <w:b/>
      <w:bCs/>
      <w:kern w:val="1"/>
      <w:sz w:val="32"/>
      <w:szCs w:val="32"/>
      <w:lang w:val="en-AU" w:eastAsia="ar-SA"/>
    </w:rPr>
  </w:style>
  <w:style w:type="character" w:customStyle="1" w:styleId="20">
    <w:name w:val="Заглавие 2 Знак"/>
    <w:basedOn w:val="a1"/>
    <w:link w:val="2"/>
    <w:rsid w:val="0075565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лавие 3 Знак"/>
    <w:basedOn w:val="a1"/>
    <w:link w:val="3"/>
    <w:rsid w:val="00755654"/>
    <w:rPr>
      <w:rFonts w:ascii="Arial" w:eastAsia="Times New Roman" w:hAnsi="Arial" w:cs="Arial"/>
      <w:b/>
      <w:bCs/>
      <w:sz w:val="26"/>
      <w:szCs w:val="26"/>
      <w:lang w:val="en-AU" w:eastAsia="ar-SA"/>
    </w:rPr>
  </w:style>
  <w:style w:type="character" w:customStyle="1" w:styleId="40">
    <w:name w:val="Заглавие 4 Знак"/>
    <w:basedOn w:val="a1"/>
    <w:link w:val="4"/>
    <w:rsid w:val="00755654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лавие 5 Знак"/>
    <w:basedOn w:val="a1"/>
    <w:link w:val="5"/>
    <w:rsid w:val="00755654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ar-SA"/>
    </w:rPr>
  </w:style>
  <w:style w:type="character" w:customStyle="1" w:styleId="60">
    <w:name w:val="Заглавие 6 Знак"/>
    <w:basedOn w:val="a1"/>
    <w:link w:val="6"/>
    <w:rsid w:val="00755654"/>
    <w:rPr>
      <w:rFonts w:ascii="Times New Roman" w:eastAsia="Times New Roman" w:hAnsi="Times New Roman" w:cs="Times New Roman"/>
      <w:b/>
      <w:bCs/>
      <w:lang w:val="en-GB" w:eastAsia="ar-SA"/>
    </w:rPr>
  </w:style>
  <w:style w:type="character" w:customStyle="1" w:styleId="70">
    <w:name w:val="Заглавие 7 Знак"/>
    <w:basedOn w:val="a1"/>
    <w:link w:val="7"/>
    <w:rsid w:val="00755654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80">
    <w:name w:val="Заглавие 8 Знак"/>
    <w:basedOn w:val="a1"/>
    <w:link w:val="8"/>
    <w:rsid w:val="00755654"/>
    <w:rPr>
      <w:rFonts w:ascii="Times New Roman" w:eastAsia="Times New Roman" w:hAnsi="Times New Roman" w:cs="Times New Roman"/>
      <w:i/>
      <w:iCs/>
      <w:sz w:val="24"/>
      <w:szCs w:val="24"/>
      <w:lang w:val="en-GB" w:eastAsia="ar-SA"/>
    </w:rPr>
  </w:style>
  <w:style w:type="character" w:customStyle="1" w:styleId="90">
    <w:name w:val="Заглавие 9 Знак"/>
    <w:basedOn w:val="a1"/>
    <w:link w:val="9"/>
    <w:rsid w:val="00755654"/>
    <w:rPr>
      <w:rFonts w:ascii="Times New Roman" w:eastAsia="Times New Roman" w:hAnsi="Times New Roman" w:cs="Times New Roman"/>
      <w:b/>
      <w:sz w:val="36"/>
      <w:szCs w:val="20"/>
      <w:u w:val="single"/>
      <w:lang w:val="en-US" w:eastAsia="ar-SA"/>
    </w:rPr>
  </w:style>
  <w:style w:type="paragraph" w:styleId="a4">
    <w:name w:val="List Paragraph"/>
    <w:basedOn w:val="a"/>
    <w:link w:val="a5"/>
    <w:uiPriority w:val="34"/>
    <w:qFormat/>
    <w:rsid w:val="00755654"/>
    <w:pPr>
      <w:ind w:left="720"/>
    </w:pPr>
  </w:style>
  <w:style w:type="character" w:customStyle="1" w:styleId="a5">
    <w:name w:val="Списък на абзаци Знак"/>
    <w:link w:val="a4"/>
    <w:uiPriority w:val="34"/>
    <w:locked/>
    <w:rsid w:val="007556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0">
    <w:name w:val="Body Text"/>
    <w:basedOn w:val="a"/>
    <w:link w:val="a6"/>
    <w:uiPriority w:val="99"/>
    <w:semiHidden/>
    <w:unhideWhenUsed/>
    <w:rsid w:val="00755654"/>
    <w:pPr>
      <w:spacing w:after="120"/>
    </w:pPr>
  </w:style>
  <w:style w:type="character" w:customStyle="1" w:styleId="a6">
    <w:name w:val="Основен текст Знак"/>
    <w:basedOn w:val="a1"/>
    <w:link w:val="a0"/>
    <w:uiPriority w:val="99"/>
    <w:semiHidden/>
    <w:rsid w:val="007556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A0BB9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Горен колонтитул Знак"/>
    <w:basedOn w:val="a1"/>
    <w:link w:val="a7"/>
    <w:uiPriority w:val="99"/>
    <w:rsid w:val="007A0B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A0BB9"/>
    <w:pPr>
      <w:tabs>
        <w:tab w:val="center" w:pos="4536"/>
        <w:tab w:val="right" w:pos="9072"/>
      </w:tabs>
      <w:spacing w:line="240" w:lineRule="auto"/>
    </w:pPr>
  </w:style>
  <w:style w:type="character" w:customStyle="1" w:styleId="aa">
    <w:name w:val="Долен колонтитул Знак"/>
    <w:basedOn w:val="a1"/>
    <w:link w:val="a9"/>
    <w:uiPriority w:val="99"/>
    <w:rsid w:val="007A0B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8447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1"/>
    <w:link w:val="ab"/>
    <w:uiPriority w:val="99"/>
    <w:semiHidden/>
    <w:rsid w:val="008447FC"/>
    <w:rPr>
      <w:rFonts w:ascii="Tahoma" w:eastAsia="Times New Roman" w:hAnsi="Tahoma" w:cs="Tahoma"/>
      <w:sz w:val="16"/>
      <w:szCs w:val="16"/>
      <w:lang w:eastAsia="ar-SA"/>
    </w:rPr>
  </w:style>
  <w:style w:type="table" w:styleId="ad">
    <w:name w:val="Table Grid"/>
    <w:basedOn w:val="a2"/>
    <w:rsid w:val="00452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stline">
    <w:name w:val="firstline"/>
    <w:basedOn w:val="a"/>
    <w:rsid w:val="00452C9D"/>
    <w:pPr>
      <w:suppressAutoHyphens w:val="0"/>
      <w:spacing w:before="100" w:beforeAutospacing="1" w:after="100" w:afterAutospacing="1" w:line="240" w:lineRule="auto"/>
    </w:pPr>
    <w:rPr>
      <w:lang w:eastAsia="bg-BG"/>
    </w:rPr>
  </w:style>
  <w:style w:type="paragraph" w:customStyle="1" w:styleId="Default">
    <w:name w:val="Default"/>
    <w:rsid w:val="00452C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table" w:customStyle="1" w:styleId="11">
    <w:name w:val="Мрежа в таблица1"/>
    <w:basedOn w:val="a2"/>
    <w:next w:val="ad"/>
    <w:uiPriority w:val="99"/>
    <w:rsid w:val="002F3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1"/>
    <w:uiPriority w:val="99"/>
    <w:semiHidden/>
    <w:unhideWhenUsed/>
    <w:rsid w:val="00EE266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E266C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basedOn w:val="a1"/>
    <w:link w:val="af"/>
    <w:uiPriority w:val="99"/>
    <w:semiHidden/>
    <w:rsid w:val="00EE26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E266C"/>
    <w:rPr>
      <w:b/>
      <w:bCs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EE266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af3">
    <w:name w:val="Hyperlink"/>
    <w:basedOn w:val="a1"/>
    <w:uiPriority w:val="99"/>
    <w:unhideWhenUsed/>
    <w:rsid w:val="008A7C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5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1351</TotalTime>
  <Pages>11</Pages>
  <Words>3660</Words>
  <Characters>20867</Characters>
  <Application>Microsoft Office Word</Application>
  <DocSecurity>0</DocSecurity>
  <Lines>173</Lines>
  <Paragraphs>48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</dc:creator>
  <cp:keywords/>
  <dc:description/>
  <cp:lastModifiedBy>Mira</cp:lastModifiedBy>
  <cp:revision>210</cp:revision>
  <dcterms:created xsi:type="dcterms:W3CDTF">2016-11-27T08:10:00Z</dcterms:created>
  <dcterms:modified xsi:type="dcterms:W3CDTF">2019-08-16T06:45:00Z</dcterms:modified>
</cp:coreProperties>
</file>